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CCBFA" w14:textId="67C8477C" w:rsidR="0094580D" w:rsidRDefault="009458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b/>
          <w:bCs/>
        </w:rPr>
      </w:pPr>
      <w:r>
        <w:rPr>
          <w:lang w:val="en-CA"/>
        </w:rPr>
        <w:fldChar w:fldCharType="begin"/>
      </w:r>
      <w:r>
        <w:rPr>
          <w:lang w:val="en-CA"/>
        </w:rPr>
        <w:instrText xml:space="preserve"> SEQ CHAPTER \h \r 1</w:instrText>
      </w:r>
      <w:r>
        <w:rPr>
          <w:lang w:val="en-CA"/>
        </w:rPr>
        <w:fldChar w:fldCharType="end"/>
      </w:r>
    </w:p>
    <w:p w14:paraId="02553CB3" w14:textId="645FC8DF" w:rsidR="0094580D" w:rsidRDefault="009458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b/>
          <w:bCs/>
          <w:sz w:val="25"/>
          <w:szCs w:val="25"/>
        </w:rPr>
      </w:pPr>
    </w:p>
    <w:p w14:paraId="49AA092C" w14:textId="1B2EC7FC" w:rsidR="00FE5D9B" w:rsidRDefault="00FE5D9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b/>
          <w:bCs/>
          <w:sz w:val="25"/>
          <w:szCs w:val="25"/>
        </w:rPr>
      </w:pPr>
    </w:p>
    <w:p w14:paraId="6CBAD0B5" w14:textId="55E59881" w:rsidR="00FE5D9B" w:rsidRDefault="00FE5D9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b/>
          <w:bCs/>
          <w:sz w:val="25"/>
          <w:szCs w:val="25"/>
        </w:rPr>
      </w:pPr>
    </w:p>
    <w:p w14:paraId="6418644D" w14:textId="77777777" w:rsidR="00FE5D9B" w:rsidRDefault="00FE5D9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p>
    <w:p w14:paraId="5D1C2A96" w14:textId="1B6F1264" w:rsidR="0094580D" w:rsidRDefault="0094580D" w:rsidP="005807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b/>
          <w:bCs/>
          <w:sz w:val="28"/>
          <w:szCs w:val="28"/>
        </w:rPr>
      </w:pPr>
    </w:p>
    <w:p w14:paraId="0F2137A2" w14:textId="77777777" w:rsidR="00580752" w:rsidRDefault="00580752" w:rsidP="005807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b/>
          <w:bCs/>
          <w:sz w:val="28"/>
          <w:szCs w:val="28"/>
        </w:rPr>
      </w:pPr>
    </w:p>
    <w:p w14:paraId="1C9AAF23" w14:textId="77777777" w:rsidR="0094580D" w:rsidRDefault="009458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center"/>
        <w:rPr>
          <w:b/>
          <w:bCs/>
          <w:sz w:val="28"/>
          <w:szCs w:val="28"/>
        </w:rPr>
      </w:pPr>
    </w:p>
    <w:p w14:paraId="753D81BE" w14:textId="36474AC6" w:rsidR="0094580D" w:rsidRDefault="003F59F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center"/>
        <w:rPr>
          <w:rFonts w:ascii="Vani" w:hAnsi="Vani" w:cs="Vani"/>
          <w:b/>
          <w:bCs/>
          <w:sz w:val="30"/>
          <w:szCs w:val="30"/>
        </w:rPr>
      </w:pPr>
      <w:r>
        <w:rPr>
          <w:b/>
          <w:bCs/>
          <w:sz w:val="28"/>
          <w:szCs w:val="28"/>
        </w:rPr>
        <w:t>TIPS FROM THE TRIAL</w:t>
      </w:r>
      <w:r w:rsidR="00F544A2">
        <w:rPr>
          <w:b/>
          <w:bCs/>
          <w:sz w:val="28"/>
          <w:szCs w:val="28"/>
        </w:rPr>
        <w:t xml:space="preserve"> BENCH </w:t>
      </w:r>
      <w:r>
        <w:rPr>
          <w:b/>
          <w:bCs/>
          <w:sz w:val="28"/>
          <w:szCs w:val="28"/>
        </w:rPr>
        <w:t>AND APPELLATE BENCH</w:t>
      </w:r>
    </w:p>
    <w:p w14:paraId="53A7406C" w14:textId="77777777" w:rsidR="0094580D" w:rsidRDefault="009458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525F4660" w14:textId="35AF16A1" w:rsidR="0094580D" w:rsidRDefault="009458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rPr>
      </w:pPr>
    </w:p>
    <w:p w14:paraId="2C1BB43B" w14:textId="77777777" w:rsidR="0094580D" w:rsidRDefault="009458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rPr>
      </w:pPr>
    </w:p>
    <w:p w14:paraId="3DDE0FBA" w14:textId="77777777" w:rsidR="0094580D" w:rsidRDefault="009458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rPr>
      </w:pPr>
    </w:p>
    <w:p w14:paraId="0B0E39AD" w14:textId="77777777" w:rsidR="0094580D" w:rsidRDefault="009458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p>
    <w:p w14:paraId="3BC752ED" w14:textId="7E726D12" w:rsidR="0094580D" w:rsidRDefault="009458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p>
    <w:p w14:paraId="06CF4A52" w14:textId="5962EC27" w:rsidR="00580752" w:rsidRDefault="005807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p>
    <w:p w14:paraId="430A6F22" w14:textId="02563276" w:rsidR="00580752" w:rsidRDefault="005807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p>
    <w:p w14:paraId="3FDA9ACE" w14:textId="4071A4AF" w:rsidR="00580752" w:rsidRDefault="005807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p>
    <w:p w14:paraId="62C7A1DE" w14:textId="1F99A8C1" w:rsidR="00580752" w:rsidRDefault="005807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p>
    <w:p w14:paraId="64EBA530" w14:textId="3F2D21AB" w:rsidR="00580752" w:rsidRDefault="005807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p>
    <w:p w14:paraId="417160EE" w14:textId="35A07310" w:rsidR="00580752" w:rsidRDefault="005807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p>
    <w:p w14:paraId="676AF62A" w14:textId="0D72A2CB" w:rsidR="00580752" w:rsidRDefault="005807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p>
    <w:p w14:paraId="01DC110E" w14:textId="7286E840" w:rsidR="00580752" w:rsidRDefault="005807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p>
    <w:p w14:paraId="3C88D8DD" w14:textId="68F45932" w:rsidR="00580752" w:rsidRDefault="005807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p>
    <w:p w14:paraId="010EB4E0" w14:textId="2C3DA375" w:rsidR="00580752" w:rsidRDefault="0058075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p>
    <w:p w14:paraId="68C526F6" w14:textId="77777777" w:rsidR="0094580D" w:rsidRDefault="009458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p>
    <w:p w14:paraId="6E74958A" w14:textId="77777777" w:rsidR="0094580D" w:rsidRDefault="009458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p>
    <w:p w14:paraId="0999B7BD" w14:textId="77777777" w:rsidR="0094580D" w:rsidRDefault="009458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p>
    <w:p w14:paraId="1C3089D7" w14:textId="77777777" w:rsidR="0094580D" w:rsidRPr="002B2E18" w:rsidRDefault="0094580D" w:rsidP="003F59F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2B2E18">
        <w:t>Charles G. Fitzgerald</w:t>
      </w:r>
    </w:p>
    <w:p w14:paraId="0D24C869" w14:textId="2698450A" w:rsidR="0094580D" w:rsidRPr="002B2E18" w:rsidRDefault="0094580D" w:rsidP="003F59F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2B2E18">
        <w:t xml:space="preserve">Judge, </w:t>
      </w:r>
      <w:r w:rsidR="003F59F8" w:rsidRPr="002B2E18">
        <w:t>Louisiana Third Circuit Court of Appeal</w:t>
      </w:r>
    </w:p>
    <w:p w14:paraId="7AB9E3B1" w14:textId="7EFB2F77" w:rsidR="003F59F8" w:rsidRPr="002B2E18" w:rsidRDefault="003F59F8" w:rsidP="003F59F8">
      <w:pPr>
        <w:ind w:right="720"/>
        <w:jc w:val="center"/>
      </w:pPr>
      <w:r w:rsidRPr="002B2E18">
        <w:t xml:space="preserve">     10</w:t>
      </w:r>
      <w:r w:rsidR="008B7D1F">
        <w:t xml:space="preserve">23 </w:t>
      </w:r>
      <w:r w:rsidRPr="002B2E18">
        <w:t xml:space="preserve">East </w:t>
      </w:r>
      <w:r w:rsidR="008B7D1F">
        <w:t>St. Mary Boulevard</w:t>
      </w:r>
    </w:p>
    <w:p w14:paraId="4860F290" w14:textId="3F60D611" w:rsidR="003F59F8" w:rsidRPr="002B2E18" w:rsidRDefault="003F59F8" w:rsidP="003F59F8">
      <w:pPr>
        <w:ind w:right="720"/>
        <w:jc w:val="center"/>
      </w:pPr>
      <w:r w:rsidRPr="002B2E18">
        <w:t xml:space="preserve">       Lafayette, Louisiana 7050</w:t>
      </w:r>
      <w:r w:rsidR="008B7D1F">
        <w:t>3</w:t>
      </w:r>
    </w:p>
    <w:p w14:paraId="08CB6871" w14:textId="16CCDD34" w:rsidR="00580752" w:rsidRDefault="003F59F8" w:rsidP="00580752">
      <w:pPr>
        <w:ind w:right="720"/>
        <w:jc w:val="center"/>
      </w:pPr>
      <w:r w:rsidRPr="002B2E18">
        <w:t xml:space="preserve">       Telephone: (337) 269-9686</w:t>
      </w:r>
    </w:p>
    <w:p w14:paraId="4C4ED7B3" w14:textId="77777777" w:rsidR="00FE5D9B" w:rsidRPr="00580752" w:rsidRDefault="00FE5D9B" w:rsidP="00580752">
      <w:pPr>
        <w:ind w:right="720"/>
        <w:jc w:val="center"/>
      </w:pPr>
    </w:p>
    <w:p w14:paraId="3813A88D" w14:textId="77777777" w:rsidR="000B5010" w:rsidRDefault="000B5010" w:rsidP="000B5010">
      <w:pPr>
        <w:ind w:right="720"/>
        <w:jc w:val="center"/>
      </w:pPr>
    </w:p>
    <w:tbl>
      <w:tblPr>
        <w:tblW w:w="9360" w:type="dxa"/>
        <w:tblInd w:w="100" w:type="dxa"/>
        <w:tblLayout w:type="fixed"/>
        <w:tblCellMar>
          <w:left w:w="100" w:type="dxa"/>
          <w:right w:w="100" w:type="dxa"/>
        </w:tblCellMar>
        <w:tblLook w:val="0000" w:firstRow="0" w:lastRow="0" w:firstColumn="0" w:lastColumn="0" w:noHBand="0" w:noVBand="0"/>
      </w:tblPr>
      <w:tblGrid>
        <w:gridCol w:w="7110"/>
        <w:gridCol w:w="2250"/>
      </w:tblGrid>
      <w:tr w:rsidR="00310DCE" w14:paraId="49749C7C" w14:textId="77777777" w:rsidTr="003F59F8">
        <w:trPr>
          <w:cantSplit/>
        </w:trPr>
        <w:tc>
          <w:tcPr>
            <w:tcW w:w="9360" w:type="dxa"/>
            <w:gridSpan w:val="2"/>
            <w:tcBorders>
              <w:top w:val="single" w:sz="6" w:space="0" w:color="000000"/>
              <w:left w:val="single" w:sz="6" w:space="0" w:color="000000"/>
              <w:bottom w:val="nil"/>
              <w:right w:val="single" w:sz="6" w:space="0" w:color="000000"/>
            </w:tcBorders>
            <w:shd w:val="pct10" w:color="000000" w:fill="FFFFFF"/>
          </w:tcPr>
          <w:p w14:paraId="54AE9AC7" w14:textId="77777777" w:rsidR="0094580D" w:rsidRDefault="0094580D" w:rsidP="00F33C1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2"/>
              <w:jc w:val="center"/>
            </w:pPr>
            <w:r>
              <w:rPr>
                <w:b/>
                <w:bCs/>
              </w:rPr>
              <w:lastRenderedPageBreak/>
              <w:t>Table of Contents</w:t>
            </w:r>
          </w:p>
        </w:tc>
      </w:tr>
      <w:tr w:rsidR="0094580D" w14:paraId="0675FDCF" w14:textId="77777777" w:rsidTr="003F59F8">
        <w:trPr>
          <w:cantSplit/>
          <w:trHeight w:val="516"/>
        </w:trPr>
        <w:tc>
          <w:tcPr>
            <w:tcW w:w="7110" w:type="dxa"/>
            <w:tcBorders>
              <w:top w:val="single" w:sz="6" w:space="0" w:color="000000"/>
              <w:left w:val="single" w:sz="6" w:space="0" w:color="000000"/>
              <w:bottom w:val="nil"/>
              <w:right w:val="nil"/>
            </w:tcBorders>
          </w:tcPr>
          <w:p w14:paraId="19A412DF" w14:textId="77777777" w:rsidR="0094580D" w:rsidRDefault="00B16DBB" w:rsidP="00B16DB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2"/>
              <w:jc w:val="left"/>
            </w:pPr>
            <w:r>
              <w:rPr>
                <w:b/>
                <w:bCs/>
              </w:rPr>
              <w:t xml:space="preserve">              </w:t>
            </w:r>
            <w:r w:rsidR="0094580D">
              <w:rPr>
                <w:b/>
                <w:bCs/>
              </w:rPr>
              <w:t>Description</w:t>
            </w:r>
          </w:p>
        </w:tc>
        <w:tc>
          <w:tcPr>
            <w:tcW w:w="2250" w:type="dxa"/>
            <w:tcBorders>
              <w:top w:val="single" w:sz="6" w:space="0" w:color="000000"/>
              <w:left w:val="single" w:sz="6" w:space="0" w:color="000000"/>
              <w:bottom w:val="nil"/>
              <w:right w:val="single" w:sz="6" w:space="0" w:color="000000"/>
            </w:tcBorders>
          </w:tcPr>
          <w:p w14:paraId="4674B5F9" w14:textId="60213BA6" w:rsidR="0094580D" w:rsidRDefault="0094580D" w:rsidP="00F33C1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2"/>
              <w:jc w:val="center"/>
            </w:pPr>
            <w:r>
              <w:rPr>
                <w:b/>
                <w:bCs/>
              </w:rPr>
              <w:t>Page</w:t>
            </w:r>
          </w:p>
        </w:tc>
      </w:tr>
      <w:tr w:rsidR="0094580D" w14:paraId="4493962B" w14:textId="77777777" w:rsidTr="003F59F8">
        <w:trPr>
          <w:cantSplit/>
        </w:trPr>
        <w:tc>
          <w:tcPr>
            <w:tcW w:w="7110" w:type="dxa"/>
            <w:tcBorders>
              <w:top w:val="single" w:sz="6" w:space="0" w:color="000000"/>
              <w:left w:val="single" w:sz="6" w:space="0" w:color="000000"/>
              <w:bottom w:val="single" w:sz="6" w:space="0" w:color="000000"/>
              <w:right w:val="nil"/>
            </w:tcBorders>
          </w:tcPr>
          <w:p w14:paraId="77969456" w14:textId="3D0AD591" w:rsidR="0094580D" w:rsidRDefault="0094580D" w:rsidP="00F33C1F">
            <w:pPr>
              <w:tabs>
                <w:tab w:val="clear" w:pos="7200"/>
                <w:tab w:val="clear" w:pos="7920"/>
                <w:tab w:val="clear" w:pos="8640"/>
                <w:tab w:val="left" w:pos="-1200"/>
                <w:tab w:val="left" w:pos="-720"/>
                <w:tab w:val="left" w:pos="420"/>
              </w:tabs>
              <w:spacing w:before="100" w:after="52"/>
              <w:jc w:val="left"/>
            </w:pPr>
            <w:r>
              <w:t>I.</w:t>
            </w:r>
            <w:r>
              <w:tab/>
            </w:r>
            <w:r w:rsidR="003F59F8">
              <w:t>Tips from the Trial Bench</w:t>
            </w:r>
          </w:p>
        </w:tc>
        <w:tc>
          <w:tcPr>
            <w:tcW w:w="2250" w:type="dxa"/>
            <w:tcBorders>
              <w:top w:val="single" w:sz="6" w:space="0" w:color="000000"/>
              <w:left w:val="single" w:sz="6" w:space="0" w:color="000000"/>
              <w:bottom w:val="single" w:sz="6" w:space="0" w:color="000000"/>
              <w:right w:val="single" w:sz="6" w:space="0" w:color="000000"/>
            </w:tcBorders>
          </w:tcPr>
          <w:p w14:paraId="66C5928A" w14:textId="2A0CDCD8" w:rsidR="0094580D" w:rsidRDefault="00617450" w:rsidP="00F33C1F">
            <w:pPr>
              <w:tabs>
                <w:tab w:val="clear" w:pos="2880"/>
                <w:tab w:val="clear" w:pos="3600"/>
                <w:tab w:val="clear" w:pos="4320"/>
                <w:tab w:val="clear" w:pos="5040"/>
                <w:tab w:val="clear" w:pos="5760"/>
                <w:tab w:val="clear" w:pos="6480"/>
                <w:tab w:val="clear" w:pos="7200"/>
                <w:tab w:val="clear" w:pos="7920"/>
                <w:tab w:val="clear" w:pos="8640"/>
                <w:tab w:val="left" w:pos="-1200"/>
                <w:tab w:val="left" w:pos="-720"/>
                <w:tab w:val="left" w:pos="420"/>
              </w:tabs>
              <w:spacing w:before="100" w:after="52"/>
              <w:jc w:val="center"/>
            </w:pPr>
            <w:r>
              <w:t>1</w:t>
            </w:r>
          </w:p>
        </w:tc>
      </w:tr>
      <w:tr w:rsidR="0094580D" w14:paraId="2C0628E5" w14:textId="77777777" w:rsidTr="003F59F8">
        <w:trPr>
          <w:cantSplit/>
        </w:trPr>
        <w:tc>
          <w:tcPr>
            <w:tcW w:w="7110" w:type="dxa"/>
            <w:tcBorders>
              <w:top w:val="single" w:sz="6" w:space="0" w:color="000000"/>
              <w:left w:val="single" w:sz="6" w:space="0" w:color="000000"/>
              <w:bottom w:val="single" w:sz="4" w:space="0" w:color="auto"/>
              <w:right w:val="nil"/>
            </w:tcBorders>
          </w:tcPr>
          <w:p w14:paraId="6CF4C7E2" w14:textId="5AA61840" w:rsidR="0094580D" w:rsidRDefault="0094580D" w:rsidP="00F33C1F">
            <w:pPr>
              <w:tabs>
                <w:tab w:val="clear" w:pos="7200"/>
                <w:tab w:val="clear" w:pos="7920"/>
                <w:tab w:val="clear" w:pos="8640"/>
                <w:tab w:val="left" w:pos="-1200"/>
                <w:tab w:val="left" w:pos="-720"/>
                <w:tab w:val="left" w:pos="420"/>
              </w:tabs>
              <w:spacing w:before="100" w:after="52"/>
              <w:jc w:val="left"/>
            </w:pPr>
            <w:r>
              <w:t>II.</w:t>
            </w:r>
            <w:r>
              <w:tab/>
            </w:r>
            <w:r w:rsidR="003F59F8">
              <w:t>Tips from the Appellate Bench</w:t>
            </w:r>
          </w:p>
        </w:tc>
        <w:tc>
          <w:tcPr>
            <w:tcW w:w="2250" w:type="dxa"/>
            <w:tcBorders>
              <w:top w:val="single" w:sz="6" w:space="0" w:color="000000"/>
              <w:left w:val="single" w:sz="6" w:space="0" w:color="000000"/>
              <w:bottom w:val="single" w:sz="4" w:space="0" w:color="auto"/>
              <w:right w:val="single" w:sz="6" w:space="0" w:color="000000"/>
            </w:tcBorders>
          </w:tcPr>
          <w:p w14:paraId="05A52842" w14:textId="53EB4A0C" w:rsidR="0094580D" w:rsidRDefault="00F31C95" w:rsidP="00F33C1F">
            <w:pPr>
              <w:tabs>
                <w:tab w:val="clear" w:pos="2880"/>
                <w:tab w:val="clear" w:pos="3600"/>
                <w:tab w:val="clear" w:pos="4320"/>
                <w:tab w:val="clear" w:pos="5040"/>
                <w:tab w:val="clear" w:pos="5760"/>
                <w:tab w:val="clear" w:pos="6480"/>
                <w:tab w:val="clear" w:pos="7200"/>
                <w:tab w:val="clear" w:pos="7920"/>
                <w:tab w:val="clear" w:pos="8640"/>
                <w:tab w:val="left" w:pos="-1200"/>
                <w:tab w:val="left" w:pos="-720"/>
                <w:tab w:val="left" w:pos="420"/>
              </w:tabs>
              <w:spacing w:before="100" w:after="52"/>
              <w:jc w:val="center"/>
            </w:pPr>
            <w:r>
              <w:t>8</w:t>
            </w:r>
          </w:p>
        </w:tc>
      </w:tr>
    </w:tbl>
    <w:p w14:paraId="204E9C60" w14:textId="77777777" w:rsidR="000B5010" w:rsidRDefault="000B5010">
      <w:pPr>
        <w:tabs>
          <w:tab w:val="left" w:pos="-1200"/>
          <w:tab w:val="left" w:pos="-720"/>
          <w:tab w:val="left" w:pos="420"/>
          <w:tab w:val="left" w:pos="8878"/>
        </w:tabs>
        <w:spacing w:line="480" w:lineRule="auto"/>
        <w:rPr>
          <w:rFonts w:ascii="Lyon" w:hAnsi="Lyon" w:cs="Lyon"/>
        </w:rPr>
        <w:sectPr w:rsidR="000B5010" w:rsidSect="00A36137">
          <w:footerReference w:type="default" r:id="rId8"/>
          <w:type w:val="continuous"/>
          <w:pgSz w:w="12240" w:h="15840"/>
          <w:pgMar w:top="1440" w:right="1800" w:bottom="1440" w:left="1800" w:header="1440" w:footer="1440" w:gutter="0"/>
          <w:pgNumType w:fmt="lowerRoman" w:start="1"/>
          <w:cols w:space="720"/>
          <w:noEndnote/>
          <w:titlePg/>
          <w:docGrid w:linePitch="326"/>
        </w:sectPr>
      </w:pPr>
    </w:p>
    <w:p w14:paraId="4F09FA98" w14:textId="1AA76D89" w:rsidR="00D5747F" w:rsidRPr="004C0F1B" w:rsidRDefault="0094580D" w:rsidP="004C0F1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80" w:line="480" w:lineRule="auto"/>
        <w:jc w:val="center"/>
        <w:rPr>
          <w:b/>
          <w:bCs/>
        </w:rPr>
      </w:pPr>
      <w:r w:rsidRPr="004C0F1B">
        <w:rPr>
          <w:b/>
          <w:bCs/>
        </w:rPr>
        <w:lastRenderedPageBreak/>
        <w:t>I.</w:t>
      </w:r>
    </w:p>
    <w:p w14:paraId="504826B6" w14:textId="23248994" w:rsidR="00F544A2" w:rsidRPr="004C0F1B" w:rsidRDefault="00F544A2" w:rsidP="00D5747F">
      <w:pPr>
        <w:tabs>
          <w:tab w:val="clear" w:pos="8640"/>
          <w:tab w:val="left" w:pos="-1080"/>
          <w:tab w:val="left" w:pos="-720"/>
          <w:tab w:val="left" w:pos="8638"/>
        </w:tabs>
        <w:spacing w:line="540" w:lineRule="auto"/>
        <w:jc w:val="center"/>
        <w:rPr>
          <w:b/>
          <w:bCs/>
          <w:u w:val="single"/>
        </w:rPr>
      </w:pPr>
      <w:bookmarkStart w:id="0" w:name="Fault_45_Based_32_Divorce_32_Actions"/>
      <w:r w:rsidRPr="004C0F1B">
        <w:rPr>
          <w:b/>
          <w:bCs/>
        </w:rPr>
        <w:t>Tips From the Trial Bench</w:t>
      </w:r>
      <w:bookmarkEnd w:id="0"/>
    </w:p>
    <w:p w14:paraId="0133DC0F" w14:textId="1C7E626A" w:rsidR="00180FD7" w:rsidRDefault="00180FD7" w:rsidP="001E33CC">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60" w:line="259" w:lineRule="auto"/>
        <w:ind w:left="216"/>
        <w:rPr>
          <w:b/>
          <w:bCs/>
        </w:rPr>
      </w:pPr>
      <w:r w:rsidRPr="00180FD7">
        <w:rPr>
          <w:b/>
          <w:bCs/>
        </w:rPr>
        <w:t>Be Prepared</w:t>
      </w:r>
    </w:p>
    <w:p w14:paraId="7B3A3AD4" w14:textId="284B103F" w:rsidR="00B96530" w:rsidRDefault="004C0F1B" w:rsidP="00B9653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480" w:lineRule="auto"/>
        <w:ind w:firstLine="720"/>
      </w:pPr>
      <w:r>
        <w:t xml:space="preserve">This might be the most important tip of all.  </w:t>
      </w:r>
      <w:r w:rsidR="00180FD7">
        <w:t xml:space="preserve">When I first took the </w:t>
      </w:r>
      <w:r>
        <w:t xml:space="preserve">trial </w:t>
      </w:r>
      <w:r w:rsidR="00180FD7">
        <w:t xml:space="preserve">bench in January 2015, I expected that every </w:t>
      </w:r>
      <w:r w:rsidR="006704AB">
        <w:t>lawyer</w:t>
      </w:r>
      <w:r w:rsidR="00180FD7">
        <w:t xml:space="preserve"> would </w:t>
      </w:r>
      <w:r w:rsidR="006704AB">
        <w:t xml:space="preserve">be able to identify the matters before me and </w:t>
      </w:r>
      <w:r w:rsidR="00180FD7">
        <w:t>have a full command of the applicable law and relevant fact</w:t>
      </w:r>
      <w:r w:rsidR="006704AB">
        <w:t>s.</w:t>
      </w:r>
      <w:r w:rsidR="00802F3E">
        <w:t xml:space="preserve">  M</w:t>
      </w:r>
      <w:r w:rsidR="0026319D">
        <w:t>y expectations were significantly diminished</w:t>
      </w:r>
      <w:r w:rsidR="00802F3E">
        <w:t xml:space="preserve"> during the years that followed. </w:t>
      </w:r>
      <w:r>
        <w:t xml:space="preserve">  </w:t>
      </w:r>
    </w:p>
    <w:p w14:paraId="2FE89C31" w14:textId="7C4CCE2C" w:rsidR="0026319D" w:rsidRDefault="0026319D" w:rsidP="00620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480" w:lineRule="auto"/>
        <w:ind w:firstLine="720"/>
      </w:pPr>
      <w:r>
        <w:t xml:space="preserve">If you want to be a great lawyer, always—and I mean always—be prepared. </w:t>
      </w:r>
    </w:p>
    <w:p w14:paraId="775B1105" w14:textId="7B43662D" w:rsidR="00E331A3" w:rsidRDefault="00E331A3" w:rsidP="001E33CC">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60" w:line="259" w:lineRule="auto"/>
        <w:ind w:left="360"/>
        <w:rPr>
          <w:b/>
          <w:bCs/>
        </w:rPr>
      </w:pPr>
      <w:r>
        <w:rPr>
          <w:b/>
          <w:bCs/>
        </w:rPr>
        <w:t>Client Control</w:t>
      </w:r>
    </w:p>
    <w:p w14:paraId="3F9A9C2B" w14:textId="165A119D" w:rsidR="00713B7D" w:rsidRDefault="004C0F1B" w:rsidP="00713B7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480" w:lineRule="auto"/>
        <w:ind w:firstLine="720"/>
      </w:pPr>
      <w:r>
        <w:t>In my opinion, client control is directly dependent on the quality and frequency of the communication between you</w:t>
      </w:r>
      <w:r w:rsidR="00B4018E">
        <w:t xml:space="preserve"> (the lawyer) </w:t>
      </w:r>
      <w:r>
        <w:t>and your client.</w:t>
      </w:r>
      <w:r w:rsidR="00B4018E">
        <w:t xml:space="preserve">  </w:t>
      </w:r>
      <w:r w:rsidR="00E331A3">
        <w:t xml:space="preserve">Client control </w:t>
      </w:r>
      <w:r w:rsidR="00480176">
        <w:t xml:space="preserve">begins on day </w:t>
      </w:r>
      <w:r w:rsidR="00B4018E">
        <w:t xml:space="preserve">one of your representation.  </w:t>
      </w:r>
    </w:p>
    <w:p w14:paraId="40DE78DA" w14:textId="0042F27E" w:rsidR="00713B7D" w:rsidRDefault="00B4018E" w:rsidP="00713B7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480" w:lineRule="auto"/>
        <w:ind w:firstLine="720"/>
      </w:pPr>
      <w:r>
        <w:t xml:space="preserve">Most </w:t>
      </w:r>
      <w:r w:rsidR="00713B7D">
        <w:t xml:space="preserve">new </w:t>
      </w:r>
      <w:r>
        <w:t xml:space="preserve">clients know very little about the legal system.  </w:t>
      </w:r>
      <w:r w:rsidR="00434C88">
        <w:t xml:space="preserve">And </w:t>
      </w:r>
      <w:r>
        <w:t xml:space="preserve">what they do know is </w:t>
      </w:r>
      <w:r w:rsidR="00434C88">
        <w:t xml:space="preserve">from movies and television, along with the horror stories told </w:t>
      </w:r>
      <w:r w:rsidR="00620C01">
        <w:t xml:space="preserve">to them </w:t>
      </w:r>
      <w:r w:rsidR="00434C88">
        <w:t>by family members, friends</w:t>
      </w:r>
      <w:r w:rsidR="002361FF">
        <w:t xml:space="preserve"> (and friends of friends), </w:t>
      </w:r>
      <w:r w:rsidR="00434C88">
        <w:t>co-workers,</w:t>
      </w:r>
      <w:r w:rsidR="002361FF">
        <w:t xml:space="preserve"> hairdressers</w:t>
      </w:r>
      <w:r w:rsidR="00434C88">
        <w:t xml:space="preserve">, </w:t>
      </w:r>
      <w:r w:rsidR="00713B7D">
        <w:t xml:space="preserve">waitresses, </w:t>
      </w:r>
      <w:r w:rsidR="002361FF">
        <w:t xml:space="preserve">anyone in retail sales, anyone in the oilfield, </w:t>
      </w:r>
      <w:r w:rsidR="00713B7D">
        <w:t>anyone in adult tennis leagues, etc.</w:t>
      </w:r>
      <w:r w:rsidR="00624F6B">
        <w:t xml:space="preserve">  N</w:t>
      </w:r>
      <w:r w:rsidR="00713B7D">
        <w:t xml:space="preserve">ew clients are </w:t>
      </w:r>
      <w:r w:rsidR="00624F6B">
        <w:t xml:space="preserve">also </w:t>
      </w:r>
      <w:r w:rsidR="00713B7D">
        <w:t>in distress patterns</w:t>
      </w:r>
      <w:r w:rsidR="00624F6B">
        <w:t>.  Why is th</w:t>
      </w:r>
      <w:r w:rsidR="00CD4358">
        <w:t>is</w:t>
      </w:r>
      <w:r w:rsidR="00624F6B">
        <w:t xml:space="preserve"> important?  Because </w:t>
      </w:r>
      <w:r w:rsidR="00713B7D">
        <w:t xml:space="preserve">they are not actively listening to what you are saying. </w:t>
      </w:r>
    </w:p>
    <w:p w14:paraId="7148BB15" w14:textId="55E2FEA5" w:rsidR="00434C88" w:rsidRDefault="00624F6B" w:rsidP="00DB1C3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480" w:lineRule="auto"/>
        <w:ind w:firstLine="720"/>
      </w:pPr>
      <w:r>
        <w:t xml:space="preserve">As a lawyer, you sell information (legal advice).  If the client isn’t </w:t>
      </w:r>
      <w:r w:rsidR="00CD4358">
        <w:t>listening to you</w:t>
      </w:r>
      <w:r>
        <w:t xml:space="preserve">, stop selling it.  </w:t>
      </w:r>
      <w:r w:rsidR="00713B7D">
        <w:t xml:space="preserve"> </w:t>
      </w:r>
      <w:r w:rsidR="00434C88">
        <w:t xml:space="preserve">       </w:t>
      </w:r>
    </w:p>
    <w:p w14:paraId="31310C7B" w14:textId="5DDEF16C" w:rsidR="004867F4" w:rsidRDefault="004867F4" w:rsidP="001E33CC">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60" w:line="259" w:lineRule="auto"/>
        <w:ind w:left="360"/>
        <w:rPr>
          <w:b/>
          <w:bCs/>
        </w:rPr>
      </w:pPr>
      <w:r>
        <w:rPr>
          <w:b/>
          <w:bCs/>
        </w:rPr>
        <w:t>Courtroom Behavior</w:t>
      </w:r>
    </w:p>
    <w:p w14:paraId="185474D9" w14:textId="0DF21CE4" w:rsidR="00636D09" w:rsidRDefault="00624F6B" w:rsidP="00B9653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480" w:lineRule="auto"/>
        <w:ind w:firstLine="720"/>
      </w:pPr>
      <w:r>
        <w:t xml:space="preserve">From the bench, there is nothing more distracting than an overly demonstrative party who is reacting to </w:t>
      </w:r>
      <w:r w:rsidRPr="00307800">
        <w:t>adverse</w:t>
      </w:r>
      <w:r>
        <w:t xml:space="preserve"> evidence.  I’ve seen it all</w:t>
      </w:r>
      <w:r w:rsidR="00636D09">
        <w:t xml:space="preserve">: </w:t>
      </w:r>
      <w:r w:rsidR="00636D09" w:rsidRPr="00636D09">
        <w:t xml:space="preserve">sighing, grunting, groaning, </w:t>
      </w:r>
      <w:r w:rsidR="00636D09">
        <w:t>rolling eyes</w:t>
      </w:r>
      <w:r w:rsidR="004E62E7">
        <w:t xml:space="preserve"> (or </w:t>
      </w:r>
      <w:r w:rsidR="004E62E7">
        <w:lastRenderedPageBreak/>
        <w:t>worse, the intimidating stare)</w:t>
      </w:r>
      <w:r w:rsidR="00636D09">
        <w:t xml:space="preserve">, </w:t>
      </w:r>
      <w:r w:rsidR="00636D09" w:rsidRPr="00636D09">
        <w:t xml:space="preserve">flailing arms, </w:t>
      </w:r>
      <w:r w:rsidR="00636D09">
        <w:t xml:space="preserve">subtle </w:t>
      </w:r>
      <w:r w:rsidR="00636D09" w:rsidRPr="00636D09">
        <w:t xml:space="preserve">comments, </w:t>
      </w:r>
      <w:r w:rsidR="00636D09">
        <w:t xml:space="preserve">not so subtle comments, and the list goes on.  </w:t>
      </w:r>
    </w:p>
    <w:p w14:paraId="1C416382" w14:textId="08265AF5" w:rsidR="000E1CC2" w:rsidRDefault="00D36654" w:rsidP="00DB1C3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480" w:lineRule="auto"/>
        <w:ind w:firstLine="720"/>
      </w:pPr>
      <w:r>
        <w:t xml:space="preserve">While the above behavior is distracting, there is nothing more infuriating than lawyers who act as though they are </w:t>
      </w:r>
      <w:r w:rsidR="004D5FDC">
        <w:t xml:space="preserve">auditioning </w:t>
      </w:r>
      <w:r>
        <w:t>for an episode of Judge Judy.</w:t>
      </w:r>
      <w:r w:rsidR="000E1CC2">
        <w:t xml:space="preserve">  Never engage in an impromptu argument with opposing counsel.  Never talk over the trial judge.  And never underestimate the power of being pleasant.    </w:t>
      </w:r>
    </w:p>
    <w:p w14:paraId="297B5C24" w14:textId="1A06F463" w:rsidR="00C73481" w:rsidRDefault="00C73481" w:rsidP="001E33CC">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480" w:lineRule="auto"/>
        <w:ind w:left="360"/>
        <w:rPr>
          <w:b/>
          <w:bCs/>
        </w:rPr>
      </w:pPr>
      <w:r>
        <w:rPr>
          <w:b/>
          <w:bCs/>
        </w:rPr>
        <w:t>Know Your Judge</w:t>
      </w:r>
    </w:p>
    <w:p w14:paraId="64493E9B" w14:textId="38474651" w:rsidR="00C73481" w:rsidRDefault="000D23DB" w:rsidP="00DB1C3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480" w:lineRule="auto"/>
        <w:ind w:firstLine="720"/>
      </w:pPr>
      <w:r>
        <w:t>This is essential.  Let me ask you a question</w:t>
      </w:r>
      <w:r w:rsidR="00F11579">
        <w:t>.</w:t>
      </w:r>
      <w:r>
        <w:t xml:space="preserve">  In a hearing to establish custody, is it important to know how the trial judge interprets L</w:t>
      </w:r>
      <w:r w:rsidR="00EE71E4">
        <w:t xml:space="preserve">ouisiana Revised Statute </w:t>
      </w:r>
      <w:r>
        <w:t>9:335</w:t>
      </w:r>
      <w:r w:rsidR="00495484">
        <w:t>(A)(2)(b)</w:t>
      </w:r>
      <w:r>
        <w:t>?</w:t>
      </w:r>
      <w:r w:rsidR="00307800" w:rsidRPr="00307800">
        <w:rPr>
          <w:rStyle w:val="FootnoteReference"/>
          <w:vertAlign w:val="superscript"/>
        </w:rPr>
        <w:footnoteReference w:id="1"/>
      </w:r>
      <w:r>
        <w:t xml:space="preserve">  You bet it is.</w:t>
      </w:r>
      <w:r w:rsidR="00F11579">
        <w:t xml:space="preserve">  </w:t>
      </w:r>
      <w:r>
        <w:t xml:space="preserve">Why?  </w:t>
      </w:r>
      <w:r w:rsidR="00F11579">
        <w:t>Because some judges interpret this s</w:t>
      </w:r>
      <w:r w:rsidR="00495484">
        <w:t xml:space="preserve">ubsection </w:t>
      </w:r>
      <w:r w:rsidR="00F11579">
        <w:t>as creating a rebuttal presumption in favor of shared physical custody.  And this is just the beginning.</w:t>
      </w:r>
    </w:p>
    <w:p w14:paraId="59975244" w14:textId="224AAF24" w:rsidR="00031BD2" w:rsidRDefault="00031BD2" w:rsidP="001E33CC">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60" w:line="259" w:lineRule="auto"/>
        <w:ind w:left="360"/>
        <w:rPr>
          <w:b/>
          <w:bCs/>
        </w:rPr>
      </w:pPr>
      <w:r>
        <w:rPr>
          <w:b/>
          <w:bCs/>
        </w:rPr>
        <w:t>Always Protect Your Client’s Credibility</w:t>
      </w:r>
    </w:p>
    <w:p w14:paraId="5CC48A59" w14:textId="4811CB0A" w:rsidR="00667329" w:rsidRDefault="000A2EC7" w:rsidP="0066732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480" w:lineRule="auto"/>
        <w:ind w:firstLine="720"/>
      </w:pPr>
      <w:r>
        <w:t xml:space="preserve">What happens during the early stages of a </w:t>
      </w:r>
      <w:r w:rsidR="00357A2D">
        <w:t xml:space="preserve">divorce proceeding </w:t>
      </w:r>
      <w:r>
        <w:t>can mean big bucks at the end of the case.  The partition of the former community is</w:t>
      </w:r>
      <w:r w:rsidR="00357A2D">
        <w:t xml:space="preserve"> typically </w:t>
      </w:r>
      <w:r>
        <w:t>litigated after</w:t>
      </w:r>
      <w:r w:rsidR="00357A2D">
        <w:t xml:space="preserve"> all</w:t>
      </w:r>
      <w:r>
        <w:t xml:space="preserve"> incidental matters to the divorce have been resolved.</w:t>
      </w:r>
      <w:r w:rsidR="0095271A">
        <w:t xml:space="preserve">  Th</w:t>
      </w:r>
      <w:r w:rsidR="00C31830">
        <w:t>is</w:t>
      </w:r>
      <w:r w:rsidR="0095271A">
        <w:t xml:space="preserve"> means your client has many opportunities to destroy his or her credibility before the partition trial begins.  </w:t>
      </w:r>
    </w:p>
    <w:p w14:paraId="6B7BA0DB" w14:textId="241E9E66" w:rsidR="0095271A" w:rsidRDefault="0095271A" w:rsidP="00C361D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480" w:lineRule="auto"/>
        <w:ind w:firstLine="720"/>
      </w:pPr>
      <w:r>
        <w:t xml:space="preserve">Let’s suppose for a moment that </w:t>
      </w:r>
      <w:r w:rsidR="00A80228">
        <w:t xml:space="preserve">there is a dispute as to the fair market value of the community </w:t>
      </w:r>
      <w:r w:rsidR="00A80228" w:rsidRPr="00A80228">
        <w:t xml:space="preserve">ownership interest in </w:t>
      </w:r>
      <w:r w:rsidR="003434B7">
        <w:t xml:space="preserve">a very successful </w:t>
      </w:r>
      <w:r w:rsidR="00A80228" w:rsidRPr="00A80228">
        <w:t>closely held compan</w:t>
      </w:r>
      <w:r w:rsidR="003434B7">
        <w:t>y</w:t>
      </w:r>
      <w:r>
        <w:t xml:space="preserve">; </w:t>
      </w:r>
      <w:r w:rsidR="003434B7">
        <w:t>all</w:t>
      </w:r>
      <w:r>
        <w:t xml:space="preserve"> </w:t>
      </w:r>
      <w:r w:rsidR="003434B7">
        <w:t xml:space="preserve">outstanding organizational units </w:t>
      </w:r>
      <w:r>
        <w:t>are registered in your client’s name but are n</w:t>
      </w:r>
      <w:r w:rsidR="00616F61">
        <w:t>evertheless</w:t>
      </w:r>
      <w:r>
        <w:t xml:space="preserve"> community property; and </w:t>
      </w:r>
      <w:r w:rsidR="00CE21B6">
        <w:t xml:space="preserve">the other party (your client’s former spouse) has had no involvement </w:t>
      </w:r>
      <w:r w:rsidR="00357A2D">
        <w:t>in the</w:t>
      </w:r>
      <w:r w:rsidR="00616F61">
        <w:t xml:space="preserve"> business </w:t>
      </w:r>
      <w:r w:rsidR="00CE21B6">
        <w:t xml:space="preserve">operations </w:t>
      </w:r>
      <w:r w:rsidR="00CE21B6">
        <w:lastRenderedPageBreak/>
        <w:t>of th</w:t>
      </w:r>
      <w:r w:rsidR="003434B7">
        <w:t>is</w:t>
      </w:r>
      <w:r w:rsidR="00CE21B6">
        <w:t xml:space="preserve"> compan</w:t>
      </w:r>
      <w:r w:rsidR="003434B7">
        <w:t>y</w:t>
      </w:r>
      <w:r w:rsidR="00CE21B6">
        <w:t>.</w:t>
      </w:r>
      <w:r w:rsidR="00AB02D4">
        <w:t xml:space="preserve">  Let’s also suppose that your client destroyed his credibility during </w:t>
      </w:r>
      <w:r w:rsidR="00E6179B">
        <w:t xml:space="preserve">a previous </w:t>
      </w:r>
      <w:r w:rsidR="00AB02D4">
        <w:t>hearing to establish custody</w:t>
      </w:r>
      <w:r w:rsidR="00357A2D">
        <w:t xml:space="preserve">.  With </w:t>
      </w:r>
      <w:r w:rsidR="00AB02D4">
        <w:t>the partition trial</w:t>
      </w:r>
      <w:r w:rsidR="00357A2D">
        <w:t xml:space="preserve"> </w:t>
      </w:r>
      <w:r w:rsidR="00AB02D4">
        <w:t>only a few weeks away</w:t>
      </w:r>
      <w:r w:rsidR="00357A2D">
        <w:t>, should you be worried</w:t>
      </w:r>
      <w:r w:rsidR="00AB02D4">
        <w:t xml:space="preserve">?  </w:t>
      </w:r>
      <w:r w:rsidR="00496314">
        <w:t>(At this point</w:t>
      </w:r>
      <w:r w:rsidR="00AB02D4">
        <w:t>, you might want to stop at</w:t>
      </w:r>
      <w:r w:rsidR="00D2007D">
        <w:t xml:space="preserve"> CVS </w:t>
      </w:r>
      <w:r w:rsidR="00AB02D4">
        <w:t xml:space="preserve">for some </w:t>
      </w:r>
      <w:r w:rsidR="00AB02D4" w:rsidRPr="00AB02D4">
        <w:t>Pepto-Bismol</w:t>
      </w:r>
      <w:r w:rsidR="00AB02D4">
        <w:t>.</w:t>
      </w:r>
      <w:r w:rsidR="00496314">
        <w:t>)</w:t>
      </w:r>
      <w:r w:rsidR="00AB02D4">
        <w:t xml:space="preserve">  </w:t>
      </w:r>
      <w:r w:rsidR="00CE21B6">
        <w:t xml:space="preserve">     </w:t>
      </w:r>
      <w:r>
        <w:t xml:space="preserve">    </w:t>
      </w:r>
    </w:p>
    <w:p w14:paraId="5930EEAC" w14:textId="31FC1C8F" w:rsidR="006A39D2" w:rsidRPr="00265ED1" w:rsidRDefault="003434B7" w:rsidP="005B4DA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480" w:lineRule="auto"/>
        <w:ind w:firstLine="720"/>
      </w:pPr>
      <w:r>
        <w:t>In all seriousness</w:t>
      </w:r>
      <w:r w:rsidR="00476C21">
        <w:t xml:space="preserve">, </w:t>
      </w:r>
      <w:r>
        <w:t xml:space="preserve">please remember that the </w:t>
      </w:r>
      <w:r w:rsidR="00476C21">
        <w:t>trial court</w:t>
      </w:r>
      <w:r>
        <w:t>’</w:t>
      </w:r>
      <w:r w:rsidR="00476C21">
        <w:t>s choice of one expert</w:t>
      </w:r>
      <w:r>
        <w:t>’</w:t>
      </w:r>
      <w:r w:rsidR="00476C21">
        <w:t>s business valuation over that of another will not be overturned unless it is manifestly erroneous.  Whe</w:t>
      </w:r>
      <w:r w:rsidR="00867347">
        <w:t>n</w:t>
      </w:r>
      <w:r w:rsidR="00476C21">
        <w:t xml:space="preserve"> expert testimony differs, the trial judge who must determine the more credible evidence.  </w:t>
      </w:r>
      <w:r w:rsidR="00357A2D">
        <w:t>And t</w:t>
      </w:r>
      <w:r w:rsidR="00476C21">
        <w:t>he effect and weight to be given to expert testimony depends upon the underlying facts.  So</w:t>
      </w:r>
      <w:r w:rsidR="00867347">
        <w:t>,</w:t>
      </w:r>
      <w:r w:rsidR="00476C21">
        <w:t xml:space="preserve"> in the above hypothetical, what if the husband’s valuation analyst </w:t>
      </w:r>
      <w:r w:rsidR="00E6179B">
        <w:t xml:space="preserve">is relying </w:t>
      </w:r>
      <w:r w:rsidR="00357A2D">
        <w:t xml:space="preserve">primarily </w:t>
      </w:r>
      <w:r w:rsidR="00E6179B">
        <w:t xml:space="preserve">on </w:t>
      </w:r>
      <w:r w:rsidR="00867347">
        <w:t xml:space="preserve">information </w:t>
      </w:r>
      <w:r w:rsidR="00E6179B">
        <w:t xml:space="preserve">(underlying facts) </w:t>
      </w:r>
      <w:r w:rsidR="00867347">
        <w:t>given by the husband?</w:t>
      </w:r>
      <w:r>
        <w:t xml:space="preserve">  </w:t>
      </w:r>
      <w:r w:rsidR="00867347">
        <w:t xml:space="preserve">   </w:t>
      </w:r>
      <w:r w:rsidR="00B43277">
        <w:t xml:space="preserve"> </w:t>
      </w:r>
      <w:r w:rsidR="00031BD2">
        <w:t xml:space="preserve"> </w:t>
      </w:r>
    </w:p>
    <w:p w14:paraId="1579ED73" w14:textId="1B29A1D9" w:rsidR="00031BD2" w:rsidRDefault="00A00C3C" w:rsidP="001E33CC">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60" w:line="259" w:lineRule="auto"/>
        <w:ind w:left="360"/>
        <w:rPr>
          <w:b/>
          <w:bCs/>
        </w:rPr>
      </w:pPr>
      <w:r>
        <w:rPr>
          <w:b/>
          <w:bCs/>
        </w:rPr>
        <w:t xml:space="preserve">Stipulations and Final Judgments </w:t>
      </w:r>
    </w:p>
    <w:p w14:paraId="4702047F" w14:textId="64F689C5" w:rsidR="00C361DA" w:rsidRPr="00C73481" w:rsidRDefault="00A00C3C" w:rsidP="005B4DA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40" w:line="480" w:lineRule="auto"/>
        <w:ind w:firstLine="720"/>
      </w:pPr>
      <w:r>
        <w:t xml:space="preserve">Slow down and be thorough. </w:t>
      </w:r>
      <w:r w:rsidR="00CA757E">
        <w:t xml:space="preserve"> </w:t>
      </w:r>
      <w:r w:rsidR="003434B7">
        <w:t>A</w:t>
      </w:r>
      <w:r w:rsidR="00E94C65">
        <w:t xml:space="preserve">ttention to detail is also appreciated </w:t>
      </w:r>
      <w:r w:rsidR="00CA757E">
        <w:t xml:space="preserve">when drafting an order setting a contradictory hearing or trial. </w:t>
      </w:r>
    </w:p>
    <w:p w14:paraId="0BF9EC7D" w14:textId="74586113" w:rsidR="00031BD2" w:rsidRDefault="00CA757E" w:rsidP="001E33CC">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60" w:line="259" w:lineRule="auto"/>
        <w:ind w:left="360"/>
        <w:rPr>
          <w:b/>
          <w:bCs/>
        </w:rPr>
      </w:pPr>
      <w:r>
        <w:rPr>
          <w:b/>
          <w:bCs/>
        </w:rPr>
        <w:t xml:space="preserve">Understanding Court </w:t>
      </w:r>
      <w:r w:rsidR="00A52B82">
        <w:rPr>
          <w:b/>
          <w:bCs/>
        </w:rPr>
        <w:t>Costs</w:t>
      </w:r>
    </w:p>
    <w:p w14:paraId="21428719" w14:textId="58063ABA" w:rsidR="00031BD2" w:rsidRPr="00C73481" w:rsidRDefault="00CA757E" w:rsidP="000C679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480" w:lineRule="auto"/>
        <w:ind w:firstLine="720"/>
      </w:pPr>
      <w:r>
        <w:t>Let’s assume you are defending a client at hearing on a discovery motion.</w:t>
      </w:r>
      <w:r w:rsidR="003434B7">
        <w:t xml:space="preserve">  The lawyer for the moving party </w:t>
      </w:r>
      <w:r>
        <w:t xml:space="preserve">argues that </w:t>
      </w:r>
      <w:r w:rsidR="00C361DA">
        <w:t xml:space="preserve">various financial information has not been produced.  In </w:t>
      </w:r>
      <w:r w:rsidR="003434B7">
        <w:t>opposition</w:t>
      </w:r>
      <w:r w:rsidR="00C361DA">
        <w:t xml:space="preserve">, you </w:t>
      </w:r>
      <w:r w:rsidR="00DA0E9A">
        <w:t>point to</w:t>
      </w:r>
      <w:r w:rsidR="0015529D">
        <w:t xml:space="preserve"> </w:t>
      </w:r>
      <w:r w:rsidR="00C361DA">
        <w:t xml:space="preserve">a flash drive containing 50,000 pages of pdf documents.  Any thoughts on court costs if the flash drive is </w:t>
      </w:r>
      <w:r w:rsidR="0015529D">
        <w:t>admitted in</w:t>
      </w:r>
      <w:r w:rsidR="00DA0E9A">
        <w:t>to</w:t>
      </w:r>
      <w:r w:rsidR="0015529D">
        <w:t xml:space="preserve"> </w:t>
      </w:r>
      <w:r w:rsidR="00C361DA">
        <w:t xml:space="preserve">evidence? </w:t>
      </w:r>
    </w:p>
    <w:p w14:paraId="2FF145B5" w14:textId="62CDF3CE" w:rsidR="005F7683" w:rsidRDefault="005F7683" w:rsidP="001E33CC">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480" w:lineRule="auto"/>
        <w:ind w:left="360"/>
        <w:rPr>
          <w:b/>
          <w:bCs/>
        </w:rPr>
      </w:pPr>
      <w:r>
        <w:rPr>
          <w:b/>
          <w:bCs/>
        </w:rPr>
        <w:t>Know</w:t>
      </w:r>
      <w:r w:rsidR="00FD6649">
        <w:rPr>
          <w:b/>
          <w:bCs/>
        </w:rPr>
        <w:t xml:space="preserve"> </w:t>
      </w:r>
      <w:r>
        <w:rPr>
          <w:b/>
          <w:bCs/>
        </w:rPr>
        <w:t xml:space="preserve">Your Client’s </w:t>
      </w:r>
      <w:r w:rsidRPr="00495351">
        <w:rPr>
          <w:b/>
          <w:bCs/>
        </w:rPr>
        <w:t>Burden of Proof</w:t>
      </w:r>
    </w:p>
    <w:p w14:paraId="66300697" w14:textId="6ED2ECA0" w:rsidR="00FD6649" w:rsidRDefault="005F7683" w:rsidP="00EE5C6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480" w:lineRule="auto"/>
        <w:ind w:firstLine="720"/>
      </w:pPr>
      <w:r>
        <w:t xml:space="preserve">We live in a world of evidence and proof.  </w:t>
      </w:r>
      <w:r w:rsidR="00FD6649">
        <w:t xml:space="preserve">This means that you must be able to answer two questions.  First, what’s my client’s burden of proof?  And second, what evidence do I have to satisfy that burden?  </w:t>
      </w:r>
    </w:p>
    <w:p w14:paraId="7B3F9927" w14:textId="77777777" w:rsidR="009D2F1E" w:rsidRDefault="007B6AB9" w:rsidP="00A7094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480" w:lineRule="auto"/>
        <w:ind w:firstLine="720"/>
      </w:pPr>
      <w:r>
        <w:lastRenderedPageBreak/>
        <w:t>In answering the above questions, lawyers sometimes</w:t>
      </w:r>
      <w:r w:rsidR="000004A5">
        <w:t xml:space="preserve"> </w:t>
      </w:r>
      <w:r>
        <w:t>forget about evidentiary presumptions.</w:t>
      </w:r>
      <w:r w:rsidR="00074049">
        <w:t xml:space="preserve">  </w:t>
      </w:r>
      <w:r w:rsidR="00A70944">
        <w:t xml:space="preserve">An evidentiary presumption is </w:t>
      </w:r>
      <w:r w:rsidR="00074049">
        <w:t>“</w:t>
      </w:r>
      <w:r w:rsidR="005F1084" w:rsidRPr="005F1084">
        <w:t xml:space="preserve">an inference </w:t>
      </w:r>
      <w:r w:rsidR="005F1084">
        <w:t>[</w:t>
      </w:r>
      <w:r w:rsidR="00A70944">
        <w:t>i.e.,</w:t>
      </w:r>
      <w:r w:rsidR="005F1084">
        <w:t xml:space="preserve"> a </w:t>
      </w:r>
      <w:r w:rsidR="005F1084" w:rsidRPr="005F1084">
        <w:t>conclusion that an evidentiary fact exists</w:t>
      </w:r>
      <w:r w:rsidR="005F1084">
        <w:t xml:space="preserve">] </w:t>
      </w:r>
      <w:r w:rsidR="005F1084" w:rsidRPr="005F1084">
        <w:t xml:space="preserve">created by legislation that the trier of fact must draw if it finds the existence of the predicate fact </w:t>
      </w:r>
      <w:r w:rsidR="005F1084">
        <w:t>. . .</w:t>
      </w:r>
      <w:r w:rsidR="0015529D">
        <w:t xml:space="preserve"> .</w:t>
      </w:r>
      <w:r w:rsidR="005F1084">
        <w:t>”</w:t>
      </w:r>
      <w:r w:rsidR="00A70944">
        <w:t xml:space="preserve">  </w:t>
      </w:r>
    </w:p>
    <w:p w14:paraId="6C589F94" w14:textId="661CF602" w:rsidR="00074049" w:rsidRPr="004A6193" w:rsidRDefault="000E78EB" w:rsidP="000C679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480" w:lineRule="auto"/>
        <w:ind w:firstLine="720"/>
      </w:pPr>
      <w:r w:rsidRPr="000E78EB">
        <w:t>More simply stated, an evidentiary presumption is a conclusion about an unknown fact which the law draws from a known fact.</w:t>
      </w:r>
      <w:r w:rsidR="009D2F1E">
        <w:t xml:space="preserve">  </w:t>
      </w:r>
      <w:r w:rsidR="0015529D">
        <w:t xml:space="preserve">Louisiana Civil Code article </w:t>
      </w:r>
      <w:r w:rsidRPr="000E78EB">
        <w:t xml:space="preserve">2340 </w:t>
      </w:r>
      <w:r w:rsidR="00A70944">
        <w:t xml:space="preserve">creates </w:t>
      </w:r>
      <w:r w:rsidR="009D2F1E">
        <w:t xml:space="preserve">such a </w:t>
      </w:r>
      <w:r w:rsidR="00A70944">
        <w:t>presumption</w:t>
      </w:r>
      <w:r w:rsidR="009D2F1E">
        <w:t xml:space="preserve">, proving that </w:t>
      </w:r>
      <w:r w:rsidR="0015529D">
        <w:t>“</w:t>
      </w:r>
      <w:r w:rsidR="009D2F1E">
        <w:t>[t]</w:t>
      </w:r>
      <w:r w:rsidR="0015529D">
        <w:t xml:space="preserve">hings </w:t>
      </w:r>
      <w:r w:rsidR="0015529D" w:rsidRPr="0015529D">
        <w:t>in the possession of a spouse during the existence of a regime of community of acquets and gains are presumed to be community, but either spouse may prove that they are separate property.</w:t>
      </w:r>
      <w:r w:rsidR="0015529D">
        <w:t>”</w:t>
      </w:r>
      <w:r w:rsidR="00A70944">
        <w:t xml:space="preserve"> </w:t>
      </w:r>
    </w:p>
    <w:p w14:paraId="2AD3417D" w14:textId="2EC9A822" w:rsidR="001E4A4C" w:rsidRPr="001E4A4C" w:rsidRDefault="001E4A4C" w:rsidP="001E33CC">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60" w:line="259" w:lineRule="auto"/>
        <w:ind w:left="360"/>
        <w:rPr>
          <w:b/>
          <w:bCs/>
        </w:rPr>
      </w:pPr>
      <w:r w:rsidRPr="00C65C44">
        <w:rPr>
          <w:rFonts w:eastAsia="Yu Gothic UI"/>
          <w:b/>
          <w:bCs/>
        </w:rPr>
        <w:t xml:space="preserve">Mode and Order of Interrogation </w:t>
      </w:r>
      <w:r>
        <w:rPr>
          <w:rFonts w:eastAsia="Yu Gothic UI"/>
          <w:b/>
          <w:bCs/>
        </w:rPr>
        <w:t xml:space="preserve">at Trial </w:t>
      </w:r>
      <w:r w:rsidRPr="00C65C44">
        <w:rPr>
          <w:rFonts w:eastAsia="Yu Gothic UI"/>
          <w:b/>
          <w:bCs/>
        </w:rPr>
        <w:t>and Presentation</w:t>
      </w:r>
      <w:r>
        <w:rPr>
          <w:rFonts w:eastAsia="Yu Gothic UI"/>
          <w:b/>
          <w:bCs/>
        </w:rPr>
        <w:t xml:space="preserve"> of Evidence</w:t>
      </w:r>
    </w:p>
    <w:p w14:paraId="3D636423" w14:textId="2687E489" w:rsidR="000D0EE8" w:rsidRDefault="00FB09D5" w:rsidP="001E4A4C">
      <w:pPr>
        <w:tabs>
          <w:tab w:val="left" w:pos="-1080"/>
          <w:tab w:val="left" w:pos="-720"/>
          <w:tab w:val="left" w:pos="360"/>
          <w:tab w:val="left" w:pos="1080"/>
          <w:tab w:val="left" w:pos="1800"/>
        </w:tabs>
        <w:spacing w:line="480" w:lineRule="auto"/>
        <w:rPr>
          <w:rFonts w:eastAsia="Yu Gothic UI"/>
        </w:rPr>
      </w:pPr>
      <w:r>
        <w:rPr>
          <w:rFonts w:eastAsia="Yu Gothic UI"/>
        </w:rPr>
        <w:tab/>
      </w:r>
      <w:r>
        <w:rPr>
          <w:rFonts w:eastAsia="Yu Gothic UI"/>
        </w:rPr>
        <w:tab/>
      </w:r>
      <w:r w:rsidRPr="00FB09D5">
        <w:rPr>
          <w:rFonts w:eastAsia="Yu Gothic UI"/>
        </w:rPr>
        <w:t xml:space="preserve">The normal order of proof is (1) </w:t>
      </w:r>
      <w:r w:rsidR="006C4692">
        <w:rPr>
          <w:rFonts w:eastAsia="Yu Gothic UI"/>
        </w:rPr>
        <w:t xml:space="preserve">the </w:t>
      </w:r>
      <w:r w:rsidRPr="00FB09D5">
        <w:rPr>
          <w:rFonts w:eastAsia="Yu Gothic UI"/>
        </w:rPr>
        <w:t xml:space="preserve">plaintiff's case in chief, (2) </w:t>
      </w:r>
      <w:r w:rsidR="006C4692">
        <w:rPr>
          <w:rFonts w:eastAsia="Yu Gothic UI"/>
        </w:rPr>
        <w:t xml:space="preserve">the defendant’s case </w:t>
      </w:r>
      <w:r w:rsidRPr="00FB09D5">
        <w:rPr>
          <w:rFonts w:eastAsia="Yu Gothic UI"/>
        </w:rPr>
        <w:t xml:space="preserve">in chief, and (3) </w:t>
      </w:r>
      <w:r w:rsidR="006C4692">
        <w:rPr>
          <w:rFonts w:eastAsia="Yu Gothic UI"/>
        </w:rPr>
        <w:t xml:space="preserve">the </w:t>
      </w:r>
      <w:r w:rsidRPr="00FB09D5">
        <w:rPr>
          <w:rFonts w:eastAsia="Yu Gothic UI"/>
        </w:rPr>
        <w:t>plaintiff's case</w:t>
      </w:r>
      <w:r w:rsidR="002A1376">
        <w:rPr>
          <w:rFonts w:eastAsia="Yu Gothic UI"/>
        </w:rPr>
        <w:t xml:space="preserve"> </w:t>
      </w:r>
      <w:r w:rsidRPr="00FB09D5">
        <w:rPr>
          <w:rFonts w:eastAsia="Yu Gothic UI"/>
        </w:rPr>
        <w:t>in</w:t>
      </w:r>
      <w:r w:rsidR="002A1376">
        <w:rPr>
          <w:rFonts w:eastAsia="Yu Gothic UI"/>
        </w:rPr>
        <w:t xml:space="preserve"> </w:t>
      </w:r>
      <w:r w:rsidRPr="00FB09D5">
        <w:rPr>
          <w:rFonts w:eastAsia="Yu Gothic UI"/>
        </w:rPr>
        <w:t xml:space="preserve">rebuttal. La. Code Civ. Proc. art. 1632. </w:t>
      </w:r>
      <w:r w:rsidR="004F4A8C">
        <w:rPr>
          <w:rFonts w:eastAsia="Yu Gothic UI"/>
        </w:rPr>
        <w:t xml:space="preserve"> </w:t>
      </w:r>
      <w:r w:rsidRPr="00FB09D5">
        <w:rPr>
          <w:rFonts w:eastAsia="Yu Gothic UI"/>
        </w:rPr>
        <w:t xml:space="preserve">Surrebuttal is within the discretion of the court, e.g., when new issues are raised in </w:t>
      </w:r>
      <w:r w:rsidR="006C4692">
        <w:rPr>
          <w:rFonts w:eastAsia="Yu Gothic UI"/>
        </w:rPr>
        <w:t xml:space="preserve">the </w:t>
      </w:r>
      <w:r w:rsidRPr="00FB09D5">
        <w:rPr>
          <w:rFonts w:eastAsia="Yu Gothic UI"/>
        </w:rPr>
        <w:t xml:space="preserve">plaintiff's rebuttal.  </w:t>
      </w:r>
      <w:r w:rsidR="001E4A4C">
        <w:rPr>
          <w:rFonts w:eastAsia="Yu Gothic UI"/>
        </w:rPr>
        <w:tab/>
      </w:r>
    </w:p>
    <w:p w14:paraId="2EB633ED" w14:textId="7BD779D1" w:rsidR="00142808" w:rsidRPr="00FB09D5" w:rsidRDefault="00FB09D5" w:rsidP="00FB09D5">
      <w:pPr>
        <w:tabs>
          <w:tab w:val="left" w:pos="-1080"/>
          <w:tab w:val="left" w:pos="-720"/>
          <w:tab w:val="left" w:pos="360"/>
          <w:tab w:val="left" w:pos="1080"/>
          <w:tab w:val="left" w:pos="1800"/>
        </w:tabs>
        <w:spacing w:line="480" w:lineRule="auto"/>
        <w:rPr>
          <w:rFonts w:eastAsia="Yu Gothic UI"/>
        </w:rPr>
      </w:pPr>
      <w:r>
        <w:rPr>
          <w:rFonts w:eastAsia="Yu Gothic UI"/>
        </w:rPr>
        <w:tab/>
      </w:r>
      <w:r>
        <w:rPr>
          <w:rFonts w:eastAsia="Yu Gothic UI"/>
        </w:rPr>
        <w:tab/>
        <w:t xml:space="preserve">Pay attention to </w:t>
      </w:r>
      <w:r w:rsidRPr="00FB09D5">
        <w:rPr>
          <w:rFonts w:eastAsia="Yu Gothic UI"/>
        </w:rPr>
        <w:t xml:space="preserve">La. </w:t>
      </w:r>
      <w:r w:rsidR="00583B17">
        <w:rPr>
          <w:rFonts w:eastAsia="Yu Gothic UI"/>
        </w:rPr>
        <w:t>C</w:t>
      </w:r>
      <w:r w:rsidR="00EE71E4">
        <w:rPr>
          <w:rFonts w:eastAsia="Yu Gothic UI"/>
        </w:rPr>
        <w:t>ode</w:t>
      </w:r>
      <w:r w:rsidR="00583B17">
        <w:rPr>
          <w:rFonts w:eastAsia="Yu Gothic UI"/>
        </w:rPr>
        <w:t xml:space="preserve"> E</w:t>
      </w:r>
      <w:r w:rsidR="00EE71E4">
        <w:rPr>
          <w:rFonts w:eastAsia="Yu Gothic UI"/>
        </w:rPr>
        <w:t>vid</w:t>
      </w:r>
      <w:r w:rsidR="00583B17">
        <w:rPr>
          <w:rFonts w:eastAsia="Yu Gothic UI"/>
        </w:rPr>
        <w:t>.</w:t>
      </w:r>
      <w:r w:rsidRPr="00FB09D5">
        <w:rPr>
          <w:rFonts w:eastAsia="Yu Gothic UI"/>
        </w:rPr>
        <w:t xml:space="preserve"> art. 611</w:t>
      </w:r>
      <w:r>
        <w:rPr>
          <w:rFonts w:eastAsia="Yu Gothic UI"/>
        </w:rPr>
        <w:t>.</w:t>
      </w:r>
      <w:r w:rsidR="009D2F1E">
        <w:rPr>
          <w:rFonts w:eastAsia="Yu Gothic UI"/>
        </w:rPr>
        <w:t xml:space="preserve">  </w:t>
      </w:r>
      <w:r>
        <w:rPr>
          <w:rFonts w:eastAsia="Yu Gothic UI"/>
        </w:rPr>
        <w:t xml:space="preserve">Paragraph A of </w:t>
      </w:r>
      <w:r w:rsidR="009D2F1E">
        <w:rPr>
          <w:rFonts w:eastAsia="Yu Gothic UI"/>
        </w:rPr>
        <w:t xml:space="preserve">Article 611 </w:t>
      </w:r>
      <w:r w:rsidR="00142808" w:rsidRPr="00C65C44">
        <w:rPr>
          <w:rFonts w:eastAsia="MingLiU-ExtB"/>
        </w:rPr>
        <w:t>recognizes that the parties have the “primary responsibility of presenting the evidence and examining the witnesses.”</w:t>
      </w:r>
      <w:r w:rsidR="006C4692">
        <w:rPr>
          <w:rFonts w:eastAsia="MingLiU-ExtB"/>
        </w:rPr>
        <w:t xml:space="preserve">  </w:t>
      </w:r>
    </w:p>
    <w:p w14:paraId="2C4EE09D" w14:textId="35846E52" w:rsidR="002A1376" w:rsidRPr="00334C37" w:rsidRDefault="00FB09D5" w:rsidP="00FB09D5">
      <w:pPr>
        <w:tabs>
          <w:tab w:val="left" w:pos="-1080"/>
          <w:tab w:val="left" w:pos="-720"/>
          <w:tab w:val="left" w:pos="360"/>
          <w:tab w:val="left" w:pos="900"/>
          <w:tab w:val="left" w:pos="1080"/>
          <w:tab w:val="left" w:pos="1800"/>
        </w:tabs>
        <w:spacing w:line="480" w:lineRule="auto"/>
        <w:rPr>
          <w:rFonts w:eastAsia="MingLiU-ExtB"/>
        </w:rPr>
      </w:pPr>
      <w:r>
        <w:rPr>
          <w:rFonts w:eastAsia="MingLiU-ExtB"/>
        </w:rPr>
        <w:tab/>
      </w:r>
      <w:r>
        <w:rPr>
          <w:rFonts w:eastAsia="MingLiU-ExtB"/>
        </w:rPr>
        <w:tab/>
        <w:t xml:space="preserve">Paragraph B </w:t>
      </w:r>
      <w:r w:rsidR="002A1376">
        <w:rPr>
          <w:rFonts w:eastAsia="MingLiU-ExtB"/>
        </w:rPr>
        <w:t>preserves</w:t>
      </w:r>
      <w:r w:rsidR="00804F8A">
        <w:rPr>
          <w:rFonts w:eastAsia="MingLiU-ExtB"/>
        </w:rPr>
        <w:t xml:space="preserve"> the “wide open” scope for </w:t>
      </w:r>
      <w:r w:rsidR="00804F8A" w:rsidRPr="00804F8A">
        <w:rPr>
          <w:rFonts w:eastAsia="MingLiU-ExtB"/>
        </w:rPr>
        <w:t>cross-examination</w:t>
      </w:r>
      <w:r w:rsidR="00804F8A">
        <w:rPr>
          <w:rFonts w:eastAsia="MingLiU-ExtB"/>
        </w:rPr>
        <w:t xml:space="preserve">, meaning that </w:t>
      </w:r>
      <w:r w:rsidR="00142808" w:rsidRPr="00FB09D5">
        <w:rPr>
          <w:rFonts w:eastAsia="MingLiU-ExtB"/>
        </w:rPr>
        <w:t xml:space="preserve">a witness </w:t>
      </w:r>
      <w:r w:rsidR="00804F8A">
        <w:rPr>
          <w:rFonts w:eastAsia="MingLiU-ExtB"/>
        </w:rPr>
        <w:t>can</w:t>
      </w:r>
      <w:r w:rsidR="00142808" w:rsidRPr="00FB09D5">
        <w:rPr>
          <w:rFonts w:eastAsia="MingLiU-ExtB"/>
        </w:rPr>
        <w:t xml:space="preserve"> be </w:t>
      </w:r>
      <w:r w:rsidR="00142808" w:rsidRPr="00804F8A">
        <w:rPr>
          <w:rFonts w:eastAsia="MingLiU-ExtB"/>
        </w:rPr>
        <w:t>cross</w:t>
      </w:r>
      <w:r w:rsidR="00142808" w:rsidRPr="00804F8A">
        <w:rPr>
          <w:rFonts w:eastAsia="MingLiU-ExtB"/>
        </w:rPr>
        <w:noBreakHyphen/>
        <w:t>examined</w:t>
      </w:r>
      <w:r w:rsidR="00142808" w:rsidRPr="00FB09D5">
        <w:rPr>
          <w:rFonts w:eastAsia="MingLiU-ExtB"/>
        </w:rPr>
        <w:t xml:space="preserve"> </w:t>
      </w:r>
      <w:r w:rsidR="006C4692">
        <w:rPr>
          <w:rFonts w:eastAsia="MingLiU-ExtB"/>
        </w:rPr>
        <w:t>on</w:t>
      </w:r>
      <w:r w:rsidR="00804F8A">
        <w:rPr>
          <w:rFonts w:eastAsia="MingLiU-ExtB"/>
        </w:rPr>
        <w:t xml:space="preserve"> </w:t>
      </w:r>
      <w:r w:rsidR="00804F8A" w:rsidRPr="00804F8A">
        <w:rPr>
          <w:rFonts w:eastAsia="MingLiU-ExtB"/>
        </w:rPr>
        <w:t>any matter relevant to any issue in the case</w:t>
      </w:r>
      <w:r w:rsidR="00142808" w:rsidRPr="00FB09D5">
        <w:rPr>
          <w:rFonts w:eastAsia="MingLiU-ExtB"/>
        </w:rPr>
        <w:t>.</w:t>
      </w:r>
      <w:r w:rsidR="006C4692">
        <w:rPr>
          <w:rFonts w:eastAsia="MingLiU-ExtB"/>
        </w:rPr>
        <w:t xml:space="preserve">  </w:t>
      </w:r>
      <w:r w:rsidR="00730646">
        <w:rPr>
          <w:rFonts w:eastAsia="MingLiU-ExtB"/>
        </w:rPr>
        <w:t>However</w:t>
      </w:r>
      <w:r w:rsidR="00804F8A">
        <w:rPr>
          <w:rFonts w:eastAsia="MingLiU-ExtB"/>
        </w:rPr>
        <w:t xml:space="preserve">, </w:t>
      </w:r>
      <w:r w:rsidR="00804F8A" w:rsidRPr="00FB09D5">
        <w:rPr>
          <w:rFonts w:eastAsia="MingLiU-ExtB"/>
        </w:rPr>
        <w:t>when a party is called by an adverse party on direct</w:t>
      </w:r>
      <w:r w:rsidR="00804F8A">
        <w:rPr>
          <w:rFonts w:eastAsia="MingLiU-ExtB"/>
        </w:rPr>
        <w:t>, t</w:t>
      </w:r>
      <w:r w:rsidR="00142808" w:rsidRPr="00FB09D5">
        <w:rPr>
          <w:rFonts w:eastAsia="MingLiU-ExtB"/>
        </w:rPr>
        <w:t xml:space="preserve">he judge should limit the scope of </w:t>
      </w:r>
      <w:r w:rsidR="006C4692">
        <w:rPr>
          <w:rFonts w:eastAsia="MingLiU-ExtB"/>
        </w:rPr>
        <w:t xml:space="preserve">the </w:t>
      </w:r>
      <w:r w:rsidR="00142808" w:rsidRPr="00FB09D5">
        <w:rPr>
          <w:rFonts w:eastAsia="MingLiU-ExtB"/>
        </w:rPr>
        <w:t>cross</w:t>
      </w:r>
      <w:r w:rsidR="006C4692">
        <w:rPr>
          <w:rFonts w:eastAsia="MingLiU-ExtB"/>
        </w:rPr>
        <w:t xml:space="preserve"> examination</w:t>
      </w:r>
      <w:r w:rsidR="00142808" w:rsidRPr="00FB09D5">
        <w:rPr>
          <w:rFonts w:eastAsia="MingLiU-ExtB"/>
        </w:rPr>
        <w:t xml:space="preserve"> to matters testified to on direct</w:t>
      </w:r>
      <w:r w:rsidR="00804F8A">
        <w:rPr>
          <w:rFonts w:eastAsia="MingLiU-ExtB"/>
        </w:rPr>
        <w:t>.</w:t>
      </w:r>
      <w:r w:rsidR="00142808" w:rsidRPr="00FB09D5">
        <w:rPr>
          <w:rFonts w:eastAsia="MingLiU-ExtB"/>
        </w:rPr>
        <w:t xml:space="preserve"> </w:t>
      </w:r>
    </w:p>
    <w:p w14:paraId="4DAD7D85" w14:textId="7F569B04" w:rsidR="004B4B03" w:rsidRDefault="004B4B03" w:rsidP="004B4B03">
      <w:pPr>
        <w:tabs>
          <w:tab w:val="left" w:pos="-1080"/>
          <w:tab w:val="left" w:pos="-720"/>
          <w:tab w:val="left" w:pos="360"/>
          <w:tab w:val="left" w:pos="900"/>
          <w:tab w:val="left" w:pos="1080"/>
          <w:tab w:val="left" w:pos="1800"/>
        </w:tabs>
        <w:spacing w:line="480" w:lineRule="auto"/>
        <w:rPr>
          <w:rFonts w:eastAsia="Yu Gothic UI"/>
        </w:rPr>
      </w:pPr>
      <w:r>
        <w:rPr>
          <w:rFonts w:eastAsia="Yu Gothic UI"/>
        </w:rPr>
        <w:tab/>
      </w:r>
      <w:r>
        <w:rPr>
          <w:rFonts w:eastAsia="Yu Gothic UI"/>
        </w:rPr>
        <w:tab/>
        <w:t>Paragraph C</w:t>
      </w:r>
      <w:r w:rsidR="009D2F1E">
        <w:rPr>
          <w:rFonts w:eastAsia="Yu Gothic UI"/>
        </w:rPr>
        <w:t xml:space="preserve"> </w:t>
      </w:r>
      <w:r>
        <w:rPr>
          <w:rFonts w:eastAsia="MingLiU-ExtB"/>
        </w:rPr>
        <w:t xml:space="preserve">addresses </w:t>
      </w:r>
      <w:r w:rsidR="00730646">
        <w:rPr>
          <w:rFonts w:eastAsia="MingLiU-ExtB"/>
        </w:rPr>
        <w:t>leading questions</w:t>
      </w:r>
      <w:r>
        <w:rPr>
          <w:rFonts w:eastAsia="MingLiU-ExtB"/>
        </w:rPr>
        <w:t xml:space="preserve">, which </w:t>
      </w:r>
      <w:r w:rsidR="00142808" w:rsidRPr="00C65C44">
        <w:rPr>
          <w:rFonts w:eastAsia="MingLiU-ExtB"/>
        </w:rPr>
        <w:t>are generally not allowed on direct</w:t>
      </w:r>
      <w:r w:rsidR="009D2F1E">
        <w:rPr>
          <w:rFonts w:eastAsia="MingLiU-ExtB"/>
        </w:rPr>
        <w:t xml:space="preserve"> </w:t>
      </w:r>
      <w:r w:rsidR="002A1376">
        <w:rPr>
          <w:rFonts w:eastAsia="MingLiU-ExtB"/>
        </w:rPr>
        <w:t xml:space="preserve">subject to the following exceptions: </w:t>
      </w:r>
    </w:p>
    <w:p w14:paraId="0AE6BFEE" w14:textId="690173A9" w:rsidR="004B4B03" w:rsidRPr="00B75C5E" w:rsidRDefault="00CF3920" w:rsidP="00CF3920">
      <w:pPr>
        <w:pStyle w:val="ListParagraph"/>
        <w:numPr>
          <w:ilvl w:val="0"/>
          <w:numId w:val="15"/>
        </w:numPr>
        <w:tabs>
          <w:tab w:val="left" w:pos="-1080"/>
          <w:tab w:val="left" w:pos="-720"/>
          <w:tab w:val="left" w:pos="360"/>
          <w:tab w:val="left" w:pos="900"/>
          <w:tab w:val="left" w:pos="1080"/>
          <w:tab w:val="left" w:pos="1800"/>
        </w:tabs>
        <w:ind w:left="1440" w:hanging="720"/>
        <w:rPr>
          <w:rFonts w:eastAsia="Yu Gothic UI"/>
        </w:rPr>
      </w:pPr>
      <w:r>
        <w:rPr>
          <w:rFonts w:eastAsia="MingLiU-ExtB"/>
        </w:rPr>
        <w:t xml:space="preserve">   </w:t>
      </w:r>
      <w:r w:rsidR="00142808" w:rsidRPr="00B75C5E">
        <w:rPr>
          <w:rFonts w:eastAsia="MingLiU-ExtB"/>
        </w:rPr>
        <w:t>Necessary to develop the testimony of a witness, e.g., young, nervous,</w:t>
      </w:r>
      <w:r w:rsidR="00567A6D" w:rsidRPr="00B75C5E">
        <w:rPr>
          <w:rFonts w:eastAsia="MingLiU-ExtB"/>
        </w:rPr>
        <w:t xml:space="preserve"> </w:t>
      </w:r>
      <w:r w:rsidR="00142808" w:rsidRPr="00B75C5E">
        <w:rPr>
          <w:rFonts w:eastAsia="MingLiU-ExtB"/>
        </w:rPr>
        <w:t xml:space="preserve">English is </w:t>
      </w:r>
      <w:r w:rsidR="009D2F1E" w:rsidRPr="00B75C5E">
        <w:rPr>
          <w:rFonts w:eastAsia="MingLiU-ExtB"/>
        </w:rPr>
        <w:t xml:space="preserve">the </w:t>
      </w:r>
      <w:r w:rsidR="00142808" w:rsidRPr="00B75C5E">
        <w:rPr>
          <w:rFonts w:eastAsia="MingLiU-ExtB"/>
        </w:rPr>
        <w:t xml:space="preserve">second language, etc.; </w:t>
      </w:r>
    </w:p>
    <w:p w14:paraId="4725B24D" w14:textId="352337F5" w:rsidR="00112EF8" w:rsidRPr="00112EF8" w:rsidRDefault="00142808" w:rsidP="00112EF8">
      <w:pPr>
        <w:pStyle w:val="ListParagraph"/>
        <w:numPr>
          <w:ilvl w:val="0"/>
          <w:numId w:val="15"/>
        </w:numPr>
        <w:tabs>
          <w:tab w:val="left" w:pos="-1080"/>
          <w:tab w:val="left" w:pos="-720"/>
          <w:tab w:val="left" w:pos="360"/>
          <w:tab w:val="left" w:pos="900"/>
          <w:tab w:val="left" w:pos="1080"/>
          <w:tab w:val="left" w:pos="1800"/>
        </w:tabs>
        <w:spacing w:line="480" w:lineRule="auto"/>
        <w:ind w:left="1440" w:hanging="576"/>
        <w:rPr>
          <w:rFonts w:eastAsia="Yu Gothic UI"/>
        </w:rPr>
      </w:pPr>
      <w:r w:rsidRPr="00112EF8">
        <w:rPr>
          <w:rFonts w:eastAsia="MingLiU-ExtB"/>
        </w:rPr>
        <w:lastRenderedPageBreak/>
        <w:t xml:space="preserve">Unable or unwilling to respond to a proper question;  </w:t>
      </w:r>
    </w:p>
    <w:p w14:paraId="025DD529" w14:textId="77777777" w:rsidR="00112EF8" w:rsidRPr="00112EF8" w:rsidRDefault="00142808" w:rsidP="00112EF8">
      <w:pPr>
        <w:pStyle w:val="ListParagraph"/>
        <w:numPr>
          <w:ilvl w:val="0"/>
          <w:numId w:val="15"/>
        </w:numPr>
        <w:tabs>
          <w:tab w:val="left" w:pos="-1080"/>
          <w:tab w:val="left" w:pos="-720"/>
          <w:tab w:val="left" w:pos="360"/>
          <w:tab w:val="left" w:pos="900"/>
          <w:tab w:val="left" w:pos="1080"/>
          <w:tab w:val="left" w:pos="1800"/>
        </w:tabs>
        <w:spacing w:line="480" w:lineRule="auto"/>
        <w:ind w:left="1440" w:hanging="576"/>
        <w:rPr>
          <w:rFonts w:eastAsia="Yu Gothic UI"/>
        </w:rPr>
      </w:pPr>
      <w:r w:rsidRPr="00112EF8">
        <w:rPr>
          <w:rFonts w:eastAsia="MingLiU-ExtB"/>
        </w:rPr>
        <w:t>Examining an expert on opinions and inferences;</w:t>
      </w:r>
    </w:p>
    <w:p w14:paraId="31B0E990" w14:textId="77777777" w:rsidR="00112EF8" w:rsidRPr="00112EF8" w:rsidRDefault="00142808" w:rsidP="00112EF8">
      <w:pPr>
        <w:pStyle w:val="ListParagraph"/>
        <w:numPr>
          <w:ilvl w:val="0"/>
          <w:numId w:val="15"/>
        </w:numPr>
        <w:tabs>
          <w:tab w:val="left" w:pos="-1080"/>
          <w:tab w:val="left" w:pos="-720"/>
          <w:tab w:val="left" w:pos="360"/>
          <w:tab w:val="left" w:pos="900"/>
          <w:tab w:val="left" w:pos="1080"/>
          <w:tab w:val="left" w:pos="1800"/>
        </w:tabs>
        <w:spacing w:line="480" w:lineRule="auto"/>
        <w:ind w:left="1440" w:hanging="576"/>
        <w:rPr>
          <w:rFonts w:eastAsia="Yu Gothic UI"/>
        </w:rPr>
      </w:pPr>
      <w:r w:rsidRPr="00112EF8">
        <w:rPr>
          <w:rFonts w:eastAsia="MingLiU-ExtB"/>
        </w:rPr>
        <w:t>Hostile witness; and</w:t>
      </w:r>
    </w:p>
    <w:p w14:paraId="468DE8C0" w14:textId="0D88EE16" w:rsidR="004B4B03" w:rsidRPr="00112EF8" w:rsidRDefault="00142808" w:rsidP="00112EF8">
      <w:pPr>
        <w:pStyle w:val="ListParagraph"/>
        <w:numPr>
          <w:ilvl w:val="0"/>
          <w:numId w:val="15"/>
        </w:numPr>
        <w:tabs>
          <w:tab w:val="left" w:pos="-1080"/>
          <w:tab w:val="left" w:pos="-720"/>
          <w:tab w:val="left" w:pos="360"/>
          <w:tab w:val="left" w:pos="900"/>
          <w:tab w:val="left" w:pos="1080"/>
          <w:tab w:val="left" w:pos="1800"/>
        </w:tabs>
        <w:spacing w:line="480" w:lineRule="auto"/>
        <w:ind w:left="1440" w:hanging="576"/>
        <w:rPr>
          <w:rFonts w:eastAsia="Yu Gothic UI"/>
        </w:rPr>
      </w:pPr>
      <w:r w:rsidRPr="00112EF8">
        <w:rPr>
          <w:rFonts w:eastAsia="MingLiU-ExtB"/>
        </w:rPr>
        <w:t xml:space="preserve">Adverse party or person identified with </w:t>
      </w:r>
      <w:r w:rsidR="009D2F1E" w:rsidRPr="00112EF8">
        <w:rPr>
          <w:rFonts w:eastAsia="MingLiU-ExtB"/>
        </w:rPr>
        <w:t xml:space="preserve">an </w:t>
      </w:r>
      <w:r w:rsidRPr="00112EF8">
        <w:rPr>
          <w:rFonts w:eastAsia="MingLiU-ExtB"/>
        </w:rPr>
        <w:t>adverse party.</w:t>
      </w:r>
    </w:p>
    <w:p w14:paraId="3DAE53AC" w14:textId="514CDF11" w:rsidR="00142808" w:rsidRPr="00C65C44" w:rsidRDefault="004B4B03" w:rsidP="004B4B03">
      <w:pPr>
        <w:tabs>
          <w:tab w:val="left" w:pos="-1080"/>
          <w:tab w:val="left" w:pos="-720"/>
          <w:tab w:val="left" w:pos="360"/>
          <w:tab w:val="left" w:pos="900"/>
          <w:tab w:val="left" w:pos="1080"/>
          <w:tab w:val="left" w:pos="1800"/>
        </w:tabs>
        <w:spacing w:line="480" w:lineRule="auto"/>
        <w:rPr>
          <w:rFonts w:eastAsia="MingLiU-ExtB"/>
        </w:rPr>
      </w:pPr>
      <w:r>
        <w:rPr>
          <w:rFonts w:eastAsia="MingLiU-ExtB"/>
        </w:rPr>
        <w:tab/>
      </w:r>
      <w:r>
        <w:rPr>
          <w:rFonts w:eastAsia="MingLiU-ExtB"/>
        </w:rPr>
        <w:tab/>
      </w:r>
      <w:r w:rsidR="00730646">
        <w:rPr>
          <w:rFonts w:eastAsia="MingLiU-ExtB"/>
        </w:rPr>
        <w:t>And w</w:t>
      </w:r>
      <w:r w:rsidR="00142808" w:rsidRPr="00C65C44">
        <w:rPr>
          <w:rFonts w:eastAsia="MingLiU-ExtB"/>
        </w:rPr>
        <w:t xml:space="preserve">hile leading questions are generally allowed during cross, </w:t>
      </w:r>
      <w:r w:rsidR="002A1376">
        <w:rPr>
          <w:rFonts w:eastAsia="MingLiU-ExtB"/>
        </w:rPr>
        <w:t>such</w:t>
      </w:r>
      <w:r w:rsidR="00142808" w:rsidRPr="00C65C44">
        <w:rPr>
          <w:rFonts w:eastAsia="MingLiU-ExtB"/>
        </w:rPr>
        <w:t xml:space="preserve"> questions may not be used by counsel in the examination of his own client.</w:t>
      </w:r>
      <w:r w:rsidR="00730646">
        <w:rPr>
          <w:rFonts w:eastAsia="MingLiU-ExtB"/>
        </w:rPr>
        <w:t xml:space="preserve"> </w:t>
      </w:r>
    </w:p>
    <w:p w14:paraId="4144C7EB" w14:textId="586967EC" w:rsidR="006662FC" w:rsidRDefault="004B4B03" w:rsidP="004B4B03">
      <w:pPr>
        <w:tabs>
          <w:tab w:val="left" w:pos="-1080"/>
          <w:tab w:val="left" w:pos="-720"/>
          <w:tab w:val="left" w:pos="360"/>
          <w:tab w:val="left" w:pos="900"/>
          <w:tab w:val="left" w:pos="1080"/>
          <w:tab w:val="left" w:pos="1800"/>
        </w:tabs>
        <w:spacing w:line="480" w:lineRule="auto"/>
        <w:rPr>
          <w:rFonts w:eastAsia="MingLiU-ExtB"/>
        </w:rPr>
      </w:pPr>
      <w:r>
        <w:rPr>
          <w:rFonts w:eastAsia="Yu Gothic UI"/>
        </w:rPr>
        <w:tab/>
      </w:r>
      <w:r>
        <w:rPr>
          <w:rFonts w:eastAsia="Yu Gothic UI"/>
        </w:rPr>
        <w:tab/>
      </w:r>
      <w:r w:rsidR="002A1376">
        <w:rPr>
          <w:rFonts w:eastAsia="MingLiU-ExtB"/>
        </w:rPr>
        <w:t xml:space="preserve">Turning now to </w:t>
      </w:r>
      <w:r w:rsidR="00142808" w:rsidRPr="00C65C44">
        <w:rPr>
          <w:rFonts w:eastAsia="MingLiU-ExtB"/>
        </w:rPr>
        <w:t>redirect</w:t>
      </w:r>
      <w:r w:rsidR="002A1376">
        <w:rPr>
          <w:rFonts w:eastAsia="MingLiU-ExtB"/>
        </w:rPr>
        <w:t>.</w:t>
      </w:r>
      <w:r w:rsidR="009D2F1E">
        <w:rPr>
          <w:rFonts w:eastAsia="MingLiU-ExtB"/>
        </w:rPr>
        <w:t xml:space="preserve">  </w:t>
      </w:r>
      <w:r w:rsidR="002A1376">
        <w:rPr>
          <w:rFonts w:eastAsia="MingLiU-ExtB"/>
        </w:rPr>
        <w:t xml:space="preserve">Here, </w:t>
      </w:r>
      <w:r w:rsidR="00142808" w:rsidRPr="00C65C44">
        <w:rPr>
          <w:rFonts w:eastAsia="MingLiU-ExtB"/>
        </w:rPr>
        <w:t xml:space="preserve">you are generally limited to what was brought out on cross unless the </w:t>
      </w:r>
      <w:r w:rsidR="002A1376">
        <w:rPr>
          <w:rFonts w:eastAsia="MingLiU-ExtB"/>
        </w:rPr>
        <w:t xml:space="preserve">trial </w:t>
      </w:r>
      <w:r w:rsidR="00142808" w:rsidRPr="00C65C44">
        <w:rPr>
          <w:rFonts w:eastAsia="MingLiU-ExtB"/>
        </w:rPr>
        <w:t>court gives latitude</w:t>
      </w:r>
      <w:r w:rsidR="00142808" w:rsidRPr="005303A1">
        <w:rPr>
          <w:rFonts w:eastAsia="MingLiU-ExtB"/>
        </w:rPr>
        <w:t xml:space="preserve">. La. </w:t>
      </w:r>
      <w:r w:rsidR="00EE71E4">
        <w:rPr>
          <w:rFonts w:eastAsia="MingLiU-ExtB"/>
        </w:rPr>
        <w:t>Code Evid</w:t>
      </w:r>
      <w:r w:rsidR="00583B17">
        <w:rPr>
          <w:rFonts w:eastAsia="MingLiU-ExtB"/>
        </w:rPr>
        <w:t>.</w:t>
      </w:r>
      <w:r w:rsidR="00142808" w:rsidRPr="005303A1">
        <w:rPr>
          <w:rFonts w:eastAsia="MingLiU-ExtB"/>
        </w:rPr>
        <w:t xml:space="preserve"> art. 611(D)</w:t>
      </w:r>
      <w:r w:rsidR="00142808" w:rsidRPr="00C65C44">
        <w:rPr>
          <w:rFonts w:eastAsia="MingLiU-ExtB"/>
        </w:rPr>
        <w:t>.</w:t>
      </w:r>
      <w:r w:rsidR="009D2F1E">
        <w:rPr>
          <w:rFonts w:eastAsia="MingLiU-ExtB"/>
        </w:rPr>
        <w:t xml:space="preserve">  </w:t>
      </w:r>
      <w:r w:rsidR="00142808" w:rsidRPr="00C65C44">
        <w:rPr>
          <w:rFonts w:eastAsia="MingLiU-ExtB"/>
        </w:rPr>
        <w:t xml:space="preserve">If new matters come out on redirect, the other party </w:t>
      </w:r>
      <w:r w:rsidR="002A1376">
        <w:rPr>
          <w:rFonts w:eastAsia="MingLiU-ExtB"/>
        </w:rPr>
        <w:t xml:space="preserve">should be able to </w:t>
      </w:r>
      <w:r w:rsidR="00142808" w:rsidRPr="00C65C44">
        <w:rPr>
          <w:rFonts w:eastAsia="MingLiU-ExtB"/>
        </w:rPr>
        <w:t>recross.</w:t>
      </w:r>
    </w:p>
    <w:p w14:paraId="1AB4CF8B" w14:textId="5086FC24" w:rsidR="006662FC" w:rsidRDefault="006662FC" w:rsidP="004B4B03">
      <w:pPr>
        <w:tabs>
          <w:tab w:val="left" w:pos="-1080"/>
          <w:tab w:val="left" w:pos="-720"/>
          <w:tab w:val="left" w:pos="360"/>
          <w:tab w:val="left" w:pos="900"/>
          <w:tab w:val="left" w:pos="1080"/>
          <w:tab w:val="left" w:pos="1800"/>
        </w:tabs>
        <w:spacing w:line="480" w:lineRule="auto"/>
        <w:rPr>
          <w:rFonts w:eastAsia="MingLiU-ExtB"/>
        </w:rPr>
      </w:pPr>
      <w:r>
        <w:rPr>
          <w:rFonts w:eastAsia="MingLiU-ExtB"/>
        </w:rPr>
        <w:tab/>
      </w:r>
      <w:r>
        <w:rPr>
          <w:rFonts w:eastAsia="MingLiU-ExtB"/>
        </w:rPr>
        <w:tab/>
      </w:r>
      <w:r>
        <w:rPr>
          <w:rFonts w:eastAsia="MingLiU-ExtB"/>
        </w:rPr>
        <w:tab/>
        <w:t>As to rebuttal evidence, t</w:t>
      </w:r>
      <w:r w:rsidRPr="004B4B03">
        <w:rPr>
          <w:rFonts w:eastAsia="MingLiU-ExtB"/>
        </w:rPr>
        <w:t xml:space="preserve">he plaintiff </w:t>
      </w:r>
      <w:r>
        <w:rPr>
          <w:rFonts w:eastAsia="MingLiU-ExtB"/>
        </w:rPr>
        <w:t xml:space="preserve">has </w:t>
      </w:r>
      <w:r w:rsidRPr="004B4B03">
        <w:rPr>
          <w:rFonts w:eastAsia="MingLiU-ExtB"/>
        </w:rPr>
        <w:t xml:space="preserve">the right to rebut evidence adduced by the defendant. La. </w:t>
      </w:r>
      <w:r w:rsidR="00EE71E4">
        <w:rPr>
          <w:rFonts w:eastAsia="MingLiU-ExtB"/>
        </w:rPr>
        <w:t>Code Evid</w:t>
      </w:r>
      <w:r w:rsidR="00583B17">
        <w:rPr>
          <w:rFonts w:eastAsia="MingLiU-ExtB"/>
        </w:rPr>
        <w:t>.</w:t>
      </w:r>
      <w:r w:rsidRPr="004B4B03">
        <w:rPr>
          <w:rFonts w:eastAsia="MingLiU-ExtB"/>
        </w:rPr>
        <w:t xml:space="preserve"> art. 611(E).</w:t>
      </w:r>
    </w:p>
    <w:p w14:paraId="0B599BAC" w14:textId="1B90B981" w:rsidR="00B96530" w:rsidRDefault="008D1B9A" w:rsidP="008D1B9A">
      <w:pPr>
        <w:pStyle w:val="ListParagraph"/>
        <w:numPr>
          <w:ilvl w:val="0"/>
          <w:numId w:val="12"/>
        </w:numPr>
        <w:tabs>
          <w:tab w:val="left" w:pos="-1080"/>
          <w:tab w:val="left" w:pos="-720"/>
          <w:tab w:val="left" w:pos="360"/>
          <w:tab w:val="left" w:pos="900"/>
          <w:tab w:val="left" w:pos="1080"/>
          <w:tab w:val="left" w:pos="1800"/>
          <w:tab w:val="left" w:pos="2520"/>
        </w:tabs>
        <w:spacing w:after="120"/>
        <w:ind w:left="1656" w:hanging="576"/>
        <w:rPr>
          <w:rFonts w:eastAsia="MingLiU-ExtB"/>
        </w:rPr>
      </w:pPr>
      <w:r>
        <w:rPr>
          <w:rFonts w:eastAsia="MingLiU-ExtB"/>
        </w:rPr>
        <w:t xml:space="preserve">  </w:t>
      </w:r>
      <w:r w:rsidR="00583B17">
        <w:rPr>
          <w:rFonts w:eastAsia="MingLiU-ExtB"/>
        </w:rPr>
        <w:t xml:space="preserve">Importantly, </w:t>
      </w:r>
      <w:r w:rsidR="006662FC" w:rsidRPr="006662FC">
        <w:rPr>
          <w:rFonts w:eastAsia="MingLiU-ExtB"/>
        </w:rPr>
        <w:t>the trial court has the authority to allow a party to recall any witness.</w:t>
      </w:r>
      <w:r w:rsidR="006662FC">
        <w:rPr>
          <w:rFonts w:eastAsia="MingLiU-ExtB"/>
        </w:rPr>
        <w:t xml:space="preserve"> </w:t>
      </w:r>
      <w:r w:rsidR="006662FC" w:rsidRPr="006662FC">
        <w:rPr>
          <w:rFonts w:eastAsia="MingLiU-ExtB"/>
          <w:i/>
          <w:iCs/>
        </w:rPr>
        <w:t>State v. Bias</w:t>
      </w:r>
      <w:r w:rsidR="006662FC" w:rsidRPr="006662FC">
        <w:rPr>
          <w:rFonts w:eastAsia="MingLiU-ExtB"/>
        </w:rPr>
        <w:t>, 337 So. 2d 426 (La. 1976).</w:t>
      </w:r>
      <w:r w:rsidR="00583B17">
        <w:rPr>
          <w:rFonts w:eastAsia="MingLiU-ExtB"/>
        </w:rPr>
        <w:t xml:space="preserve">  Note, too, that an adverse witness </w:t>
      </w:r>
      <w:r w:rsidR="00583B17" w:rsidRPr="00583B17">
        <w:rPr>
          <w:rFonts w:eastAsia="MingLiU-ExtB"/>
        </w:rPr>
        <w:t>cannot be held to a “yes” or “no” answer but is entitled to explain his answer</w:t>
      </w:r>
      <w:r w:rsidR="00583B17">
        <w:rPr>
          <w:rFonts w:eastAsia="MingLiU-ExtB"/>
        </w:rPr>
        <w:t xml:space="preserve">. </w:t>
      </w:r>
      <w:r w:rsidR="00583B17" w:rsidRPr="00583B17">
        <w:rPr>
          <w:rFonts w:eastAsia="MingLiU-ExtB"/>
          <w:i/>
          <w:iCs/>
        </w:rPr>
        <w:t>State v. Baker</w:t>
      </w:r>
      <w:r w:rsidR="00583B17" w:rsidRPr="00583B17">
        <w:rPr>
          <w:rFonts w:eastAsia="MingLiU-ExtB"/>
        </w:rPr>
        <w:t>, 288 So. 2d 52 (La. 1973)</w:t>
      </w:r>
      <w:r w:rsidR="00583B17">
        <w:rPr>
          <w:rFonts w:eastAsia="MingLiU-ExtB"/>
        </w:rPr>
        <w:t>.  However, a</w:t>
      </w:r>
      <w:r w:rsidR="002A1376">
        <w:rPr>
          <w:rFonts w:eastAsia="MingLiU-ExtB"/>
        </w:rPr>
        <w:t xml:space="preserve">n adverse witness should </w:t>
      </w:r>
      <w:r w:rsidR="00142808" w:rsidRPr="004B4B03">
        <w:rPr>
          <w:rFonts w:eastAsia="MingLiU-ExtB"/>
        </w:rPr>
        <w:t>answer</w:t>
      </w:r>
      <w:r w:rsidR="002A1376">
        <w:rPr>
          <w:rFonts w:eastAsia="MingLiU-ExtB"/>
        </w:rPr>
        <w:t xml:space="preserve"> </w:t>
      </w:r>
      <w:r w:rsidR="004B4B03">
        <w:rPr>
          <w:rFonts w:eastAsia="MingLiU-ExtB"/>
        </w:rPr>
        <w:t>“</w:t>
      </w:r>
      <w:r w:rsidR="00142808" w:rsidRPr="004B4B03">
        <w:rPr>
          <w:rFonts w:eastAsia="MingLiU-ExtB"/>
        </w:rPr>
        <w:t>yes</w:t>
      </w:r>
      <w:r w:rsidR="004B4B03">
        <w:rPr>
          <w:rFonts w:eastAsia="MingLiU-ExtB"/>
        </w:rPr>
        <w:t>”</w:t>
      </w:r>
      <w:r w:rsidR="00142808" w:rsidRPr="004B4B03">
        <w:rPr>
          <w:rFonts w:eastAsia="MingLiU-ExtB"/>
        </w:rPr>
        <w:t xml:space="preserve"> or </w:t>
      </w:r>
      <w:r w:rsidR="004B4B03">
        <w:rPr>
          <w:rFonts w:eastAsia="MingLiU-ExtB"/>
        </w:rPr>
        <w:t>“</w:t>
      </w:r>
      <w:r w:rsidR="00142808" w:rsidRPr="004B4B03">
        <w:rPr>
          <w:rFonts w:eastAsia="MingLiU-ExtB"/>
        </w:rPr>
        <w:t>no</w:t>
      </w:r>
      <w:r w:rsidR="004B4B03">
        <w:rPr>
          <w:rFonts w:eastAsia="MingLiU-ExtB"/>
        </w:rPr>
        <w:t>”</w:t>
      </w:r>
      <w:r w:rsidR="00142808" w:rsidRPr="004B4B03">
        <w:rPr>
          <w:rFonts w:eastAsia="MingLiU-ExtB"/>
        </w:rPr>
        <w:t xml:space="preserve"> before</w:t>
      </w:r>
      <w:r w:rsidR="002A1376">
        <w:rPr>
          <w:rFonts w:eastAsia="MingLiU-ExtB"/>
        </w:rPr>
        <w:t xml:space="preserve"> </w:t>
      </w:r>
      <w:r w:rsidR="00142808" w:rsidRPr="004B4B03">
        <w:rPr>
          <w:rFonts w:eastAsia="MingLiU-ExtB"/>
        </w:rPr>
        <w:t>attempt</w:t>
      </w:r>
      <w:r w:rsidR="002A1376">
        <w:rPr>
          <w:rFonts w:eastAsia="MingLiU-ExtB"/>
        </w:rPr>
        <w:t>ing</w:t>
      </w:r>
      <w:r w:rsidR="00142808" w:rsidRPr="004B4B03">
        <w:rPr>
          <w:rFonts w:eastAsia="MingLiU-ExtB"/>
        </w:rPr>
        <w:t xml:space="preserve"> to </w:t>
      </w:r>
      <w:r w:rsidR="00583B17">
        <w:rPr>
          <w:rFonts w:eastAsia="MingLiU-ExtB"/>
        </w:rPr>
        <w:t xml:space="preserve">give an </w:t>
      </w:r>
      <w:r w:rsidR="00142808" w:rsidRPr="004B4B03">
        <w:rPr>
          <w:rFonts w:eastAsia="MingLiU-ExtB"/>
        </w:rPr>
        <w:t xml:space="preserve">explanation. </w:t>
      </w:r>
    </w:p>
    <w:p w14:paraId="2B29FE6E" w14:textId="252ABAA6" w:rsidR="00981476" w:rsidRDefault="00142808" w:rsidP="00EE71E4">
      <w:pPr>
        <w:pStyle w:val="ListParagraph"/>
        <w:tabs>
          <w:tab w:val="left" w:pos="-1080"/>
          <w:tab w:val="left" w:pos="-720"/>
          <w:tab w:val="left" w:pos="360"/>
          <w:tab w:val="left" w:pos="900"/>
          <w:tab w:val="left" w:pos="1080"/>
          <w:tab w:val="left" w:pos="1800"/>
          <w:tab w:val="left" w:pos="2520"/>
        </w:tabs>
        <w:ind w:left="1440"/>
        <w:rPr>
          <w:rFonts w:eastAsia="MingLiU-ExtB"/>
        </w:rPr>
      </w:pPr>
      <w:r w:rsidRPr="004B4B03">
        <w:rPr>
          <w:rFonts w:eastAsia="MingLiU-ExtB"/>
        </w:rPr>
        <w:tab/>
      </w:r>
    </w:p>
    <w:p w14:paraId="0C1A0738" w14:textId="117572D6" w:rsidR="00981476" w:rsidRDefault="00194F20" w:rsidP="00487CE0">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480" w:lineRule="auto"/>
        <w:ind w:left="360"/>
        <w:rPr>
          <w:b/>
          <w:bCs/>
        </w:rPr>
      </w:pPr>
      <w:r>
        <w:rPr>
          <w:b/>
          <w:bCs/>
        </w:rPr>
        <w:t xml:space="preserve"> </w:t>
      </w:r>
      <w:r w:rsidR="00981476">
        <w:rPr>
          <w:b/>
          <w:bCs/>
        </w:rPr>
        <w:t>Is Expert Testimony Needed?</w:t>
      </w:r>
    </w:p>
    <w:p w14:paraId="2338D9E1" w14:textId="68C0A6F6" w:rsidR="002A1376" w:rsidRPr="00EE71E4" w:rsidRDefault="00EE71E4" w:rsidP="000C679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480" w:lineRule="auto"/>
        <w:ind w:firstLine="720"/>
        <w:rPr>
          <w:b/>
          <w:bCs/>
        </w:rPr>
      </w:pPr>
      <w:r>
        <w:t>E</w:t>
      </w:r>
      <w:r w:rsidR="00981476">
        <w:t>xpert testimony is essential</w:t>
      </w:r>
      <w:r>
        <w:t xml:space="preserve"> in certain types of cases</w:t>
      </w:r>
      <w:r w:rsidR="00981476">
        <w:t>.  In these cases, don’t delay in retaining the necessary expert.  If your client has limited access to funds,</w:t>
      </w:r>
      <w:r>
        <w:t xml:space="preserve"> </w:t>
      </w:r>
      <w:r w:rsidR="00981476">
        <w:t xml:space="preserve">file a motion for the trial court to appoint its own expert.     </w:t>
      </w:r>
      <w:r w:rsidR="002A1376">
        <w:rPr>
          <w:rFonts w:eastAsia="MingLiU-ExtB"/>
        </w:rPr>
        <w:t xml:space="preserve"> </w:t>
      </w:r>
    </w:p>
    <w:p w14:paraId="1999891A" w14:textId="61C32E04" w:rsidR="005303A1" w:rsidRDefault="00194F20" w:rsidP="00487CE0">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60" w:line="259" w:lineRule="auto"/>
        <w:ind w:left="360"/>
        <w:rPr>
          <w:b/>
          <w:bCs/>
        </w:rPr>
      </w:pPr>
      <w:r>
        <w:rPr>
          <w:b/>
          <w:bCs/>
        </w:rPr>
        <w:t xml:space="preserve"> </w:t>
      </w:r>
      <w:r w:rsidR="00B10CEC">
        <w:rPr>
          <w:b/>
          <w:bCs/>
        </w:rPr>
        <w:t xml:space="preserve">Bases of Opinion Testimony by </w:t>
      </w:r>
      <w:r w:rsidR="005303A1">
        <w:rPr>
          <w:b/>
          <w:bCs/>
        </w:rPr>
        <w:t>Expert</w:t>
      </w:r>
      <w:r w:rsidR="00B10CEC">
        <w:rPr>
          <w:b/>
          <w:bCs/>
        </w:rPr>
        <w:t>s</w:t>
      </w:r>
      <w:r w:rsidR="005303A1">
        <w:rPr>
          <w:b/>
          <w:bCs/>
        </w:rPr>
        <w:t xml:space="preserve"> </w:t>
      </w:r>
    </w:p>
    <w:p w14:paraId="40C5C33E" w14:textId="77777777" w:rsidR="007E6335" w:rsidRDefault="00B10CEC" w:rsidP="007E63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480" w:lineRule="auto"/>
        <w:ind w:firstLine="720"/>
      </w:pPr>
      <w:r>
        <w:t xml:space="preserve">Pursuant to La. </w:t>
      </w:r>
      <w:r w:rsidR="00EE71E4">
        <w:t>Code Evid</w:t>
      </w:r>
      <w:r w:rsidR="00583B17">
        <w:t>.</w:t>
      </w:r>
      <w:r>
        <w:t xml:space="preserve"> art. 703, t</w:t>
      </w:r>
      <w:r w:rsidR="005303A1">
        <w:t xml:space="preserve">he facts or data underlying </w:t>
      </w:r>
      <w:r>
        <w:t xml:space="preserve">an </w:t>
      </w:r>
      <w:r w:rsidR="005303A1">
        <w:t>expert</w:t>
      </w:r>
      <w:r w:rsidR="001E30B8">
        <w:t>’</w:t>
      </w:r>
      <w:r w:rsidR="005303A1">
        <w:t>s opinion may be any of the following:</w:t>
      </w:r>
    </w:p>
    <w:p w14:paraId="4E98563E" w14:textId="45317073" w:rsidR="007E6335" w:rsidRDefault="005303A1" w:rsidP="007E6335">
      <w:pPr>
        <w:pStyle w:val="ListParagraph"/>
        <w:widowControl/>
        <w:numPr>
          <w:ilvl w:val="0"/>
          <w:numId w:val="1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480" w:lineRule="auto"/>
      </w:pPr>
      <w:r>
        <w:t>Information within the expert</w:t>
      </w:r>
      <w:r w:rsidR="001E30B8">
        <w:t>’</w:t>
      </w:r>
      <w:r>
        <w:t>s firsthand knowledge;</w:t>
      </w:r>
    </w:p>
    <w:p w14:paraId="413ED4ED" w14:textId="44A03866" w:rsidR="0094559E" w:rsidRDefault="005303A1" w:rsidP="0094559E">
      <w:pPr>
        <w:pStyle w:val="ListParagraph"/>
        <w:widowControl/>
        <w:numPr>
          <w:ilvl w:val="0"/>
          <w:numId w:val="1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lastRenderedPageBreak/>
        <w:t xml:space="preserve">Information presented to the expert at trial, thus approving the use of hypothetical questions.  However, evidence should come in to support the basis of the questions. </w:t>
      </w:r>
      <w:r w:rsidRPr="0094559E">
        <w:rPr>
          <w:i/>
          <w:iCs/>
        </w:rPr>
        <w:t>Combs v. Hartford Ins. Co.</w:t>
      </w:r>
      <w:r>
        <w:t>, 544 So. 2d 583 (La. App. 1</w:t>
      </w:r>
      <w:r w:rsidR="00690D64" w:rsidRPr="0094559E">
        <w:rPr>
          <w:vertAlign w:val="superscript"/>
        </w:rPr>
        <w:t>st</w:t>
      </w:r>
      <w:r w:rsidR="00690D64">
        <w:t xml:space="preserve"> </w:t>
      </w:r>
      <w:r>
        <w:t>Cir. 1989);</w:t>
      </w:r>
      <w:r w:rsidR="00B10CEC">
        <w:t xml:space="preserve"> and</w:t>
      </w:r>
      <w:r w:rsidR="0094559E">
        <w:t xml:space="preserve">         </w:t>
      </w:r>
    </w:p>
    <w:p w14:paraId="51A08CCD" w14:textId="77777777" w:rsidR="0094559E" w:rsidRDefault="0094559E" w:rsidP="0094559E">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pPr>
    </w:p>
    <w:p w14:paraId="580E9C21" w14:textId="3D535709" w:rsidR="005303A1" w:rsidRDefault="005303A1" w:rsidP="0094559E">
      <w:pPr>
        <w:pStyle w:val="ListParagraph"/>
        <w:widowControl/>
        <w:numPr>
          <w:ilvl w:val="0"/>
          <w:numId w:val="1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t xml:space="preserve">Otherwise inadmissible evidence, </w:t>
      </w:r>
      <w:r w:rsidR="00B10CEC">
        <w:t xml:space="preserve">such as </w:t>
      </w:r>
      <w:r>
        <w:t xml:space="preserve">hearsay, if it is of a type reasonably relied on by experts in the particular field in arriving at their opinions.  For instance, a statement made to an expert mental health professional by a family member or friend concerning the fitness of a person to be a parent is the type of evidence that is reasonably relied upon by experts in that particular field in forming opinions as to the best interest of minor children. </w:t>
      </w:r>
    </w:p>
    <w:p w14:paraId="547EE8AA" w14:textId="77777777" w:rsidR="005303A1" w:rsidRDefault="005303A1" w:rsidP="005303A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pPr>
    </w:p>
    <w:p w14:paraId="322D6929" w14:textId="21CD2D80" w:rsidR="005303A1" w:rsidRDefault="009D2F1E" w:rsidP="000C679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480" w:lineRule="auto"/>
        <w:ind w:firstLine="720"/>
      </w:pPr>
      <w:r>
        <w:t xml:space="preserve">Pay particular attention to </w:t>
      </w:r>
      <w:r w:rsidR="005303A1">
        <w:t>Art</w:t>
      </w:r>
      <w:r w:rsidR="0073000A">
        <w:t xml:space="preserve">icle </w:t>
      </w:r>
      <w:r w:rsidR="005303A1">
        <w:t>703</w:t>
      </w:r>
      <w:r>
        <w:t xml:space="preserve">(3).  It </w:t>
      </w:r>
      <w:r w:rsidR="005303A1">
        <w:t>permits parties to introduce inadmissible evidence not as substantive evidence, but to support the soundness (or reasonableness) of the expert</w:t>
      </w:r>
      <w:r>
        <w:t>’</w:t>
      </w:r>
      <w:r w:rsidR="005303A1">
        <w:t>s opinion.</w:t>
      </w:r>
      <w:r w:rsidR="00A36C2D">
        <w:t xml:space="preserve">  </w:t>
      </w:r>
      <w:r>
        <w:t xml:space="preserve">This was addressed </w:t>
      </w:r>
      <w:r w:rsidR="00A36C2D">
        <w:t xml:space="preserve">in </w:t>
      </w:r>
      <w:r w:rsidR="00A36C2D" w:rsidRPr="00A36C2D">
        <w:rPr>
          <w:i/>
          <w:iCs/>
        </w:rPr>
        <w:t>Judicial Commitment of J.M.</w:t>
      </w:r>
      <w:r w:rsidR="00A36C2D">
        <w:t>, 560 So. 2d 100 (La. App. 3d Cir. 1990)</w:t>
      </w:r>
      <w:r>
        <w:t xml:space="preserve">.  In that case, </w:t>
      </w:r>
      <w:r w:rsidR="00A36C2D">
        <w:t xml:space="preserve">the third circuit held that the petitioner did not meet his burden of proving that the defendant should be judicially committed.  The only evidence introduced by the petitioner was the testimony of an expert </w:t>
      </w:r>
      <w:r w:rsidR="001E30B8">
        <w:t>psychologist</w:t>
      </w:r>
      <w:r w:rsidR="00A36C2D">
        <w:t>.</w:t>
      </w:r>
      <w:r w:rsidR="0073000A">
        <w:t xml:space="preserve">  T</w:t>
      </w:r>
      <w:r w:rsidR="00A36C2D">
        <w:t xml:space="preserve">he </w:t>
      </w:r>
      <w:r w:rsidR="001E30B8">
        <w:t>expert</w:t>
      </w:r>
      <w:r w:rsidR="00A36C2D">
        <w:t xml:space="preserve"> </w:t>
      </w:r>
      <w:r w:rsidR="0073000A">
        <w:t xml:space="preserve">was allowed </w:t>
      </w:r>
      <w:r w:rsidR="00A36C2D">
        <w:t>to relate the hearsay testimony of family members of the defendant as evidence “reasonably relied” upon by psychologists in forming their opinions.  However, the statements were not admissible as substantive evidence to satisfy the plaintiff</w:t>
      </w:r>
      <w:r w:rsidR="001E30B8">
        <w:t>’</w:t>
      </w:r>
      <w:r w:rsidR="00A36C2D">
        <w:t>s burden of proof.</w:t>
      </w:r>
    </w:p>
    <w:p w14:paraId="2FB479B9" w14:textId="17C94B16" w:rsidR="00A84BE4" w:rsidRPr="00D67C4D" w:rsidRDefault="00194F20" w:rsidP="00487CE0">
      <w:pPr>
        <w:pStyle w:val="Level1"/>
        <w:widowControl/>
        <w:numPr>
          <w:ilvl w:val="0"/>
          <w:numId w:val="2"/>
        </w:numPr>
        <w:tabs>
          <w:tab w:val="left" w:pos="-1080"/>
          <w:tab w:val="left" w:pos="-720"/>
          <w:tab w:val="left" w:pos="0"/>
          <w:tab w:val="left" w:pos="180"/>
          <w:tab w:val="left" w:pos="540"/>
          <w:tab w:val="left" w:pos="1080"/>
          <w:tab w:val="left" w:pos="1440"/>
          <w:tab w:val="left" w:pos="1800"/>
          <w:tab w:val="left" w:pos="2160"/>
          <w:tab w:val="left" w:pos="2520"/>
          <w:tab w:val="left" w:pos="3600"/>
        </w:tabs>
        <w:autoSpaceDE/>
        <w:autoSpaceDN/>
        <w:adjustRightInd/>
        <w:spacing w:after="160" w:line="259" w:lineRule="auto"/>
        <w:ind w:left="360"/>
        <w:rPr>
          <w:b/>
          <w:bCs/>
        </w:rPr>
      </w:pPr>
      <w:r>
        <w:rPr>
          <w:b/>
          <w:bCs/>
        </w:rPr>
        <w:t xml:space="preserve"> </w:t>
      </w:r>
      <w:r w:rsidR="00A84BE4" w:rsidRPr="00D67C4D">
        <w:rPr>
          <w:b/>
          <w:bCs/>
        </w:rPr>
        <w:t>The Party Admission</w:t>
      </w:r>
    </w:p>
    <w:p w14:paraId="45C3CF9E" w14:textId="1B254CD5" w:rsidR="000C6799" w:rsidRDefault="00D67C4D" w:rsidP="00194F20">
      <w:pPr>
        <w:pStyle w:val="Level1"/>
        <w:widowControl/>
        <w:tabs>
          <w:tab w:val="left" w:pos="-1080"/>
          <w:tab w:val="left" w:pos="-720"/>
          <w:tab w:val="left" w:pos="0"/>
          <w:tab w:val="left" w:pos="180"/>
          <w:tab w:val="left" w:pos="540"/>
          <w:tab w:val="left" w:pos="1080"/>
          <w:tab w:val="left" w:pos="1440"/>
          <w:tab w:val="left" w:pos="1800"/>
          <w:tab w:val="left" w:pos="2160"/>
          <w:tab w:val="left" w:pos="2520"/>
          <w:tab w:val="left" w:pos="3600"/>
        </w:tabs>
        <w:autoSpaceDE/>
        <w:autoSpaceDN/>
        <w:adjustRightInd/>
        <w:spacing w:after="120" w:line="480" w:lineRule="auto"/>
        <w:ind w:left="0" w:firstLine="720"/>
        <w:rPr>
          <w:rFonts w:eastAsia="MingLiU-ExtB"/>
        </w:rPr>
      </w:pPr>
      <w:r>
        <w:rPr>
          <w:rFonts w:eastAsia="MingLiU-ExtB"/>
        </w:rPr>
        <w:t xml:space="preserve">A </w:t>
      </w:r>
      <w:r w:rsidR="00A84BE4" w:rsidRPr="00A84BE4">
        <w:rPr>
          <w:rFonts w:eastAsia="MingLiU-ExtB"/>
        </w:rPr>
        <w:t>statement by a party to a lawsuit may always be offered against that party by his opponent.</w:t>
      </w:r>
      <w:r>
        <w:rPr>
          <w:rFonts w:eastAsia="MingLiU-ExtB"/>
        </w:rPr>
        <w:t xml:space="preserve"> La. </w:t>
      </w:r>
      <w:r w:rsidR="000D0EE8">
        <w:rPr>
          <w:rFonts w:eastAsia="MingLiU-ExtB"/>
        </w:rPr>
        <w:t>Code Evid</w:t>
      </w:r>
      <w:r w:rsidR="00583B17">
        <w:rPr>
          <w:rFonts w:eastAsia="MingLiU-ExtB"/>
        </w:rPr>
        <w:t>.</w:t>
      </w:r>
      <w:r>
        <w:rPr>
          <w:rFonts w:eastAsia="MingLiU-ExtB"/>
        </w:rPr>
        <w:t xml:space="preserve"> art. </w:t>
      </w:r>
      <w:r w:rsidRPr="00A84BE4">
        <w:rPr>
          <w:rFonts w:eastAsia="MingLiU-ExtB"/>
        </w:rPr>
        <w:t>801(D)(2)(a)</w:t>
      </w:r>
      <w:r>
        <w:rPr>
          <w:rFonts w:eastAsia="MingLiU-ExtB"/>
        </w:rPr>
        <w:t>.</w:t>
      </w:r>
      <w:r w:rsidR="0033093C">
        <w:rPr>
          <w:rFonts w:eastAsia="MingLiU-ExtB"/>
        </w:rPr>
        <w:t xml:space="preserve">  </w:t>
      </w:r>
      <w:r w:rsidR="00A84BE4" w:rsidRPr="00A84BE4">
        <w:rPr>
          <w:rFonts w:eastAsia="MingLiU-ExtB"/>
        </w:rPr>
        <w:t>The statement may be oral or written.</w:t>
      </w:r>
      <w:r w:rsidR="0033093C">
        <w:rPr>
          <w:rFonts w:eastAsia="MingLiU-ExtB"/>
        </w:rPr>
        <w:t xml:space="preserve">  </w:t>
      </w:r>
      <w:r w:rsidR="00A84BE4" w:rsidRPr="00A84BE4">
        <w:rPr>
          <w:rFonts w:eastAsia="MingLiU-ExtB"/>
        </w:rPr>
        <w:t>The only foundation required is to show that the statement was made by the adverse party.</w:t>
      </w:r>
      <w:r w:rsidR="0033093C">
        <w:rPr>
          <w:rFonts w:eastAsia="MingLiU-ExtB"/>
        </w:rPr>
        <w:t xml:space="preserve">  </w:t>
      </w:r>
      <w:r w:rsidRPr="00D67C4D">
        <w:rPr>
          <w:rFonts w:eastAsia="MingLiU-ExtB"/>
        </w:rPr>
        <w:t xml:space="preserve">This party admission is an </w:t>
      </w:r>
      <w:r w:rsidRPr="001E30B8">
        <w:rPr>
          <w:rFonts w:eastAsia="MingLiU-ExtB"/>
        </w:rPr>
        <w:t>evidentiary admission</w:t>
      </w:r>
      <w:r w:rsidRPr="00D67C4D">
        <w:rPr>
          <w:rFonts w:eastAsia="MingLiU-ExtB"/>
        </w:rPr>
        <w:t xml:space="preserve"> which should be distinguished from a judicial admission.</w:t>
      </w:r>
      <w:r w:rsidR="0033093C">
        <w:rPr>
          <w:rFonts w:eastAsia="MingLiU-ExtB"/>
        </w:rPr>
        <w:t xml:space="preserve">  </w:t>
      </w:r>
      <w:r w:rsidR="001E30B8">
        <w:rPr>
          <w:rFonts w:eastAsia="MingLiU-ExtB"/>
        </w:rPr>
        <w:t xml:space="preserve">Unlike the latter, an evidentiary admission may be rebutted by the party against whom it </w:t>
      </w:r>
      <w:r w:rsidR="007F3DE1">
        <w:rPr>
          <w:rFonts w:eastAsia="MingLiU-ExtB"/>
        </w:rPr>
        <w:t>i</w:t>
      </w:r>
      <w:r w:rsidR="001E30B8">
        <w:rPr>
          <w:rFonts w:eastAsia="MingLiU-ExtB"/>
        </w:rPr>
        <w:t>s offered.</w:t>
      </w:r>
      <w:r w:rsidR="00AC238C">
        <w:rPr>
          <w:rFonts w:eastAsia="MingLiU-ExtB"/>
        </w:rPr>
        <w:t xml:space="preserve"> </w:t>
      </w:r>
    </w:p>
    <w:p w14:paraId="6726C3BC" w14:textId="5854BC2C" w:rsidR="00C65C44" w:rsidRPr="006E3692" w:rsidRDefault="00D67C4D" w:rsidP="000C6799">
      <w:pPr>
        <w:pStyle w:val="Level1"/>
        <w:widowControl/>
        <w:tabs>
          <w:tab w:val="left" w:pos="-1080"/>
          <w:tab w:val="left" w:pos="-720"/>
          <w:tab w:val="left" w:pos="0"/>
          <w:tab w:val="left" w:pos="180"/>
          <w:tab w:val="left" w:pos="540"/>
          <w:tab w:val="left" w:pos="1080"/>
          <w:tab w:val="left" w:pos="1440"/>
          <w:tab w:val="left" w:pos="1800"/>
          <w:tab w:val="left" w:pos="2160"/>
          <w:tab w:val="left" w:pos="2520"/>
          <w:tab w:val="left" w:pos="3600"/>
        </w:tabs>
        <w:autoSpaceDE/>
        <w:autoSpaceDN/>
        <w:adjustRightInd/>
        <w:spacing w:after="120" w:line="480" w:lineRule="auto"/>
        <w:ind w:left="0"/>
        <w:rPr>
          <w:rFonts w:eastAsia="MingLiU-ExtB"/>
        </w:rPr>
      </w:pPr>
      <w:r>
        <w:rPr>
          <w:rFonts w:eastAsia="MingLiU-ExtB"/>
        </w:rPr>
        <w:t xml:space="preserve">  </w:t>
      </w:r>
    </w:p>
    <w:p w14:paraId="748F4219" w14:textId="77777777" w:rsidR="00487CE0" w:rsidRDefault="009B63F6" w:rsidP="00487CE0">
      <w:pPr>
        <w:pStyle w:val="Level1"/>
        <w:widowControl/>
        <w:numPr>
          <w:ilvl w:val="0"/>
          <w:numId w:val="2"/>
        </w:numPr>
        <w:tabs>
          <w:tab w:val="left" w:pos="-1080"/>
          <w:tab w:val="left" w:pos="-720"/>
          <w:tab w:val="left" w:pos="0"/>
          <w:tab w:val="left" w:pos="180"/>
          <w:tab w:val="left" w:pos="540"/>
          <w:tab w:val="left" w:pos="1080"/>
          <w:tab w:val="left" w:pos="1440"/>
          <w:tab w:val="left" w:pos="1800"/>
          <w:tab w:val="left" w:pos="2160"/>
          <w:tab w:val="left" w:pos="2520"/>
          <w:tab w:val="left" w:pos="3600"/>
        </w:tabs>
        <w:autoSpaceDE/>
        <w:autoSpaceDN/>
        <w:adjustRightInd/>
        <w:spacing w:line="259" w:lineRule="auto"/>
        <w:ind w:left="360"/>
        <w:rPr>
          <w:b/>
          <w:bCs/>
        </w:rPr>
      </w:pPr>
      <w:r w:rsidRPr="009B63F6">
        <w:rPr>
          <w:rFonts w:eastAsia="Yu Gothic UI"/>
          <w:color w:val="000000"/>
        </w:rPr>
        <w:lastRenderedPageBreak/>
        <w:t xml:space="preserve"> </w:t>
      </w:r>
      <w:r w:rsidR="008D5951">
        <w:rPr>
          <w:b/>
          <w:bCs/>
        </w:rPr>
        <w:t>Trial Exhibits</w:t>
      </w:r>
    </w:p>
    <w:p w14:paraId="7FCFC6A1" w14:textId="6B0D33F6" w:rsidR="00031BD2" w:rsidRPr="009B63F6" w:rsidRDefault="008D5951" w:rsidP="00487CE0">
      <w:pPr>
        <w:pStyle w:val="Level1"/>
        <w:widowControl/>
        <w:tabs>
          <w:tab w:val="left" w:pos="-1080"/>
          <w:tab w:val="left" w:pos="-720"/>
          <w:tab w:val="left" w:pos="0"/>
          <w:tab w:val="left" w:pos="180"/>
          <w:tab w:val="left" w:pos="540"/>
          <w:tab w:val="left" w:pos="1080"/>
          <w:tab w:val="left" w:pos="1440"/>
          <w:tab w:val="left" w:pos="1800"/>
          <w:tab w:val="left" w:pos="2160"/>
          <w:tab w:val="left" w:pos="2520"/>
          <w:tab w:val="left" w:pos="3600"/>
        </w:tabs>
        <w:autoSpaceDE/>
        <w:autoSpaceDN/>
        <w:adjustRightInd/>
        <w:spacing w:line="259" w:lineRule="auto"/>
        <w:ind w:left="360"/>
        <w:rPr>
          <w:b/>
          <w:bCs/>
        </w:rPr>
      </w:pPr>
      <w:r>
        <w:rPr>
          <w:b/>
          <w:bCs/>
        </w:rPr>
        <w:t xml:space="preserve"> </w:t>
      </w:r>
    </w:p>
    <w:p w14:paraId="43D31BBA" w14:textId="0400CAA7" w:rsidR="00A07ABB" w:rsidRPr="00D5747F" w:rsidRDefault="008D5951" w:rsidP="000C679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480" w:lineRule="auto"/>
        <w:ind w:firstLine="720"/>
      </w:pPr>
      <w:r>
        <w:t xml:space="preserve">For </w:t>
      </w:r>
      <w:r w:rsidR="00DB72F2">
        <w:t xml:space="preserve">writings, </w:t>
      </w:r>
      <w:r w:rsidR="00563C8C">
        <w:t xml:space="preserve">recordings, and photographs, </w:t>
      </w:r>
      <w:r>
        <w:t xml:space="preserve">always have the </w:t>
      </w:r>
      <w:r w:rsidR="00DB72F2">
        <w:t xml:space="preserve">original and four copies, especially in </w:t>
      </w:r>
      <w:r w:rsidR="00AC238C">
        <w:t xml:space="preserve">the </w:t>
      </w:r>
      <w:r w:rsidR="00DB72F2">
        <w:t xml:space="preserve">new COVID era. </w:t>
      </w:r>
    </w:p>
    <w:p w14:paraId="4A7E97CC" w14:textId="20525998" w:rsidR="00031BD2" w:rsidRDefault="00194F20" w:rsidP="00A07ABB">
      <w:pPr>
        <w:pStyle w:val="ListParagraph"/>
        <w:numPr>
          <w:ilvl w:val="0"/>
          <w:numId w:val="2"/>
        </w:numPr>
        <w:tabs>
          <w:tab w:val="left" w:pos="-1200"/>
          <w:tab w:val="left" w:pos="-720"/>
          <w:tab w:val="left" w:pos="360"/>
          <w:tab w:val="left" w:pos="1080"/>
          <w:tab w:val="left" w:pos="1800"/>
          <w:tab w:val="left" w:pos="2520"/>
        </w:tabs>
        <w:ind w:left="360"/>
        <w:rPr>
          <w:b/>
          <w:bCs/>
        </w:rPr>
      </w:pPr>
      <w:r>
        <w:rPr>
          <w:b/>
          <w:bCs/>
        </w:rPr>
        <w:t xml:space="preserve"> </w:t>
      </w:r>
      <w:r w:rsidR="00DB72F2" w:rsidRPr="006D4AA0">
        <w:rPr>
          <w:b/>
          <w:bCs/>
        </w:rPr>
        <w:t>The Formal Article 1551 Pretrial Conference</w:t>
      </w:r>
    </w:p>
    <w:p w14:paraId="08918909" w14:textId="77777777" w:rsidR="00A84BE4" w:rsidRPr="006D4AA0" w:rsidRDefault="00A84BE4" w:rsidP="00A84BE4">
      <w:pPr>
        <w:pStyle w:val="ListParagraph"/>
        <w:tabs>
          <w:tab w:val="left" w:pos="-1200"/>
          <w:tab w:val="left" w:pos="-720"/>
          <w:tab w:val="left" w:pos="360"/>
          <w:tab w:val="left" w:pos="1080"/>
          <w:tab w:val="left" w:pos="1800"/>
          <w:tab w:val="left" w:pos="2520"/>
        </w:tabs>
        <w:rPr>
          <w:b/>
          <w:bCs/>
        </w:rPr>
      </w:pPr>
    </w:p>
    <w:p w14:paraId="1F38C51A" w14:textId="4BC4EC98" w:rsidR="00C7444A" w:rsidRDefault="00272D95" w:rsidP="00EB39C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480" w:lineRule="auto"/>
        <w:ind w:firstLine="720"/>
      </w:pPr>
      <w:r>
        <w:t xml:space="preserve">This is an </w:t>
      </w:r>
      <w:r w:rsidR="00DB72F2">
        <w:t xml:space="preserve">important tool in your procedural </w:t>
      </w:r>
      <w:r w:rsidR="00054782">
        <w:t>toolbox</w:t>
      </w:r>
      <w:r>
        <w:t xml:space="preserve">.  There is only one </w:t>
      </w:r>
      <w:r w:rsidR="00563C8C">
        <w:t>formal pretrial conference</w:t>
      </w:r>
      <w:r>
        <w:t xml:space="preserve">, and it is addressed in </w:t>
      </w:r>
      <w:r w:rsidR="002E5C44">
        <w:t xml:space="preserve">La. Code Civ. Proc. art. 1551.  </w:t>
      </w:r>
      <w:r w:rsidR="00C7444A">
        <w:t>Th</w:t>
      </w:r>
      <w:r w:rsidR="00054782">
        <w:t xml:space="preserve">at article gives the trial </w:t>
      </w:r>
      <w:r w:rsidR="00C7444A">
        <w:t>court</w:t>
      </w:r>
      <w:r w:rsidR="00054782">
        <w:t xml:space="preserve"> </w:t>
      </w:r>
      <w:r w:rsidR="00C7444A">
        <w:t xml:space="preserve">the discretion to </w:t>
      </w:r>
      <w:r w:rsidR="00C7444A" w:rsidRPr="00C7444A">
        <w:t xml:space="preserve">direct the attorneys for the parties to appear before it </w:t>
      </w:r>
      <w:r w:rsidR="00C7444A">
        <w:t>to consider</w:t>
      </w:r>
      <w:r w:rsidR="00EB39CE">
        <w:t xml:space="preserve"> </w:t>
      </w:r>
      <w:r w:rsidR="00054782">
        <w:t>numerous pretrial matters</w:t>
      </w:r>
      <w:r w:rsidR="00EB39CE">
        <w:t xml:space="preserve">, including </w:t>
      </w:r>
      <w:r w:rsidR="00C7444A" w:rsidRPr="002E5C44">
        <w:t xml:space="preserve">(1) the contested and uncontested issues, (2) the </w:t>
      </w:r>
      <w:r w:rsidR="00C7444A">
        <w:t>exhibits</w:t>
      </w:r>
      <w:r w:rsidR="00C7444A" w:rsidRPr="002E5C44">
        <w:t xml:space="preserve"> that may be offered and any objections thereto, and (3) the witnesses, including experts, who will be called to testify</w:t>
      </w:r>
      <w:r w:rsidR="00C7444A">
        <w:t>. La. Code Civ. Proc. art. 1551(A).</w:t>
      </w:r>
    </w:p>
    <w:p w14:paraId="11E5B9B8" w14:textId="767B34F4" w:rsidR="00C7444A" w:rsidRDefault="00C7444A" w:rsidP="0055051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480" w:lineRule="auto"/>
        <w:ind w:firstLine="720"/>
      </w:pPr>
      <w:r>
        <w:t xml:space="preserve">Paragraph D was added by 2018 La. Acts </w:t>
      </w:r>
      <w:r w:rsidR="001175CE">
        <w:t xml:space="preserve">No. </w:t>
      </w:r>
      <w:r w:rsidR="0081376C" w:rsidRPr="0081376C">
        <w:t>254, § 1</w:t>
      </w:r>
      <w:r w:rsidR="0081376C">
        <w:t>.  It reads, in pertinent part: “</w:t>
      </w:r>
      <w:r w:rsidR="0081376C" w:rsidRPr="0081376C">
        <w:t>If a suit has been pending for more than one year since the date of filing of the original petition and no trial date has been assigned, upon motion of any party, the court shall set the matter for conference for the purpose of resolving all matters subject to the provisions of this Article</w:t>
      </w:r>
      <w:r w:rsidR="0081376C">
        <w:t xml:space="preserve"> . . . .” La. Code Civ. Proc. art. 1551(D).</w:t>
      </w:r>
    </w:p>
    <w:p w14:paraId="4FF95053" w14:textId="1243E474" w:rsidR="00031BD2" w:rsidRDefault="00194F20" w:rsidP="00A07ABB">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60" w:line="259" w:lineRule="auto"/>
        <w:ind w:left="360"/>
        <w:rPr>
          <w:b/>
          <w:bCs/>
        </w:rPr>
      </w:pPr>
      <w:r>
        <w:rPr>
          <w:b/>
          <w:bCs/>
        </w:rPr>
        <w:t xml:space="preserve"> </w:t>
      </w:r>
      <w:r w:rsidR="00DB72F2">
        <w:rPr>
          <w:b/>
          <w:bCs/>
        </w:rPr>
        <w:t>The Motion for Continuance</w:t>
      </w:r>
    </w:p>
    <w:p w14:paraId="2EE4A339" w14:textId="51CEA491" w:rsidR="002E5C44" w:rsidRDefault="00DB72F2" w:rsidP="0055051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480" w:lineRule="auto"/>
        <w:ind w:firstLine="720"/>
      </w:pPr>
      <w:r>
        <w:t xml:space="preserve">Louisiana Code of Civil Procedure article 1605 </w:t>
      </w:r>
      <w:r w:rsidR="00CC79C5">
        <w:t>provides</w:t>
      </w:r>
      <w:r w:rsidR="008D5951">
        <w:t xml:space="preserve"> that “[e]</w:t>
      </w:r>
      <w:r w:rsidR="008D5951" w:rsidRPr="008D5951">
        <w:t xml:space="preserve">very </w:t>
      </w:r>
      <w:r w:rsidR="008D5951" w:rsidRPr="00563C8C">
        <w:rPr>
          <w:i/>
          <w:iCs/>
        </w:rPr>
        <w:t>contested</w:t>
      </w:r>
      <w:r w:rsidR="008D5951" w:rsidRPr="008D5951">
        <w:t xml:space="preserve"> motion for a continuance shall be tried summarily and contradictorily with the opposite party.</w:t>
      </w:r>
      <w:r w:rsidR="008D5951">
        <w:t>”</w:t>
      </w:r>
      <w:r w:rsidR="00563C8C">
        <w:t xml:space="preserve"> (Emphasis added).</w:t>
      </w:r>
      <w:r>
        <w:t xml:space="preserve">  </w:t>
      </w:r>
      <w:r w:rsidR="00563C8C">
        <w:t>U</w:t>
      </w:r>
      <w:r>
        <w:t xml:space="preserve">nless opposing counsel has expressly agreed to the continuance, the motion is </w:t>
      </w:r>
      <w:r w:rsidR="008D5951">
        <w:t>contested</w:t>
      </w:r>
      <w:r>
        <w:t xml:space="preserve"> and must be set for contradictory hearing.</w:t>
      </w:r>
      <w:r w:rsidR="008D5951">
        <w:t xml:space="preserve">  Do not submit </w:t>
      </w:r>
      <w:r w:rsidR="001175CE">
        <w:t xml:space="preserve">an </w:t>
      </w:r>
      <w:r w:rsidR="008D5951">
        <w:t xml:space="preserve">order that states otherwise. </w:t>
      </w:r>
    </w:p>
    <w:p w14:paraId="7F8C2716" w14:textId="3EC48415" w:rsidR="00550513" w:rsidRDefault="00550513" w:rsidP="0055051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480" w:lineRule="auto"/>
        <w:ind w:firstLine="720"/>
      </w:pPr>
    </w:p>
    <w:p w14:paraId="140BF4AB" w14:textId="77777777" w:rsidR="00550513" w:rsidRPr="00C73481" w:rsidRDefault="00550513" w:rsidP="0055051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480" w:lineRule="auto"/>
        <w:ind w:firstLine="720"/>
      </w:pPr>
    </w:p>
    <w:p w14:paraId="0BC5F9B1" w14:textId="519FED83" w:rsidR="00712EC6" w:rsidRDefault="00194F20" w:rsidP="00CC5D0C">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59" w:lineRule="auto"/>
        <w:ind w:left="360"/>
        <w:rPr>
          <w:b/>
          <w:bCs/>
        </w:rPr>
      </w:pPr>
      <w:r>
        <w:rPr>
          <w:b/>
          <w:bCs/>
        </w:rPr>
        <w:lastRenderedPageBreak/>
        <w:t xml:space="preserve"> </w:t>
      </w:r>
      <w:r w:rsidR="00712EC6">
        <w:rPr>
          <w:b/>
          <w:bCs/>
        </w:rPr>
        <w:t>The Art of the Direct Examination</w:t>
      </w:r>
    </w:p>
    <w:p w14:paraId="7C776639" w14:textId="4A72C9DA" w:rsidR="00712EC6" w:rsidRPr="00712EC6" w:rsidRDefault="00272D95" w:rsidP="0055051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480" w:lineRule="auto"/>
        <w:ind w:firstLine="720"/>
      </w:pPr>
      <w:r>
        <w:t>I’ve seen it all</w:t>
      </w:r>
      <w:r w:rsidR="00B10179">
        <w:t xml:space="preserve">—the good, the bad, and the truly awful.  </w:t>
      </w:r>
      <w:r w:rsidR="00712EC6">
        <w:t xml:space="preserve">This is where </w:t>
      </w:r>
      <w:r w:rsidR="001175CE">
        <w:t xml:space="preserve">trials are won.  </w:t>
      </w:r>
      <w:r w:rsidR="002E5C44">
        <w:t xml:space="preserve">The </w:t>
      </w:r>
      <w:r w:rsidR="00ED24C4">
        <w:t xml:space="preserve">best </w:t>
      </w:r>
      <w:r w:rsidR="00533163">
        <w:t xml:space="preserve">direct examinations are those in which the examining attorney almost </w:t>
      </w:r>
      <w:r w:rsidR="001175CE">
        <w:t xml:space="preserve">goes unnoticed by asking short nonleading questions.  </w:t>
      </w:r>
      <w:r w:rsidR="00533163">
        <w:t>T</w:t>
      </w:r>
      <w:r w:rsidR="001175CE">
        <w:t xml:space="preserve">his allows the </w:t>
      </w:r>
      <w:r w:rsidR="00533163">
        <w:t xml:space="preserve">client </w:t>
      </w:r>
      <w:r w:rsidR="001175CE">
        <w:t xml:space="preserve">to </w:t>
      </w:r>
      <w:r w:rsidR="00533163">
        <w:t xml:space="preserve">become the storyteller.  Conversely, the </w:t>
      </w:r>
      <w:r w:rsidR="00ED24C4">
        <w:t xml:space="preserve">worst </w:t>
      </w:r>
      <w:r w:rsidR="00533163">
        <w:t xml:space="preserve">direct examinations are those in which the examining attorney attempts to testify for the client.  </w:t>
      </w:r>
      <w:r w:rsidR="00712EC6">
        <w:t xml:space="preserve">  </w:t>
      </w:r>
    </w:p>
    <w:p w14:paraId="6B495304" w14:textId="7F679D57" w:rsidR="00031BD2" w:rsidRDefault="00194F20" w:rsidP="00D91CE6">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60" w:line="259" w:lineRule="auto"/>
        <w:ind w:left="360"/>
        <w:rPr>
          <w:b/>
          <w:bCs/>
        </w:rPr>
      </w:pPr>
      <w:r>
        <w:rPr>
          <w:b/>
          <w:bCs/>
        </w:rPr>
        <w:t xml:space="preserve"> </w:t>
      </w:r>
      <w:r w:rsidR="009B63F6">
        <w:rPr>
          <w:b/>
          <w:bCs/>
        </w:rPr>
        <w:t>The Art of the Cross</w:t>
      </w:r>
      <w:r w:rsidR="000D0EE8">
        <w:rPr>
          <w:b/>
          <w:bCs/>
        </w:rPr>
        <w:t>-</w:t>
      </w:r>
      <w:r w:rsidR="009B63F6">
        <w:rPr>
          <w:b/>
          <w:bCs/>
        </w:rPr>
        <w:t xml:space="preserve">Examination </w:t>
      </w:r>
    </w:p>
    <w:p w14:paraId="602E4255" w14:textId="1FDB86F4" w:rsidR="00D91CE6" w:rsidRPr="00D91CE6" w:rsidRDefault="00712EC6" w:rsidP="00D91CE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60" w:line="480" w:lineRule="auto"/>
        <w:ind w:firstLine="720"/>
      </w:pPr>
      <w:r>
        <w:t xml:space="preserve">Do not blunder </w:t>
      </w:r>
      <w:r w:rsidR="00533163">
        <w:t xml:space="preserve">the </w:t>
      </w:r>
      <w:r>
        <w:t>cross</w:t>
      </w:r>
      <w:r w:rsidR="000D0EE8">
        <w:t>-</w:t>
      </w:r>
      <w:r>
        <w:t xml:space="preserve">examination.  </w:t>
      </w:r>
      <w:r w:rsidR="00ED24C4">
        <w:t>Effective cross</w:t>
      </w:r>
      <w:r w:rsidR="000D0EE8">
        <w:t>-</w:t>
      </w:r>
      <w:r w:rsidR="00ED24C4">
        <w:t xml:space="preserve">examinations are </w:t>
      </w:r>
      <w:r w:rsidR="001175CE">
        <w:t xml:space="preserve">concise, purposeful, and </w:t>
      </w:r>
      <w:r w:rsidR="00ED24C4">
        <w:t>almost always focus</w:t>
      </w:r>
      <w:r w:rsidR="005A4EF0">
        <w:t>ed</w:t>
      </w:r>
      <w:r w:rsidR="00ED24C4">
        <w:t xml:space="preserve"> on the witness’s credibility—the truthfulness </w:t>
      </w:r>
      <w:r w:rsidR="00ED24C4" w:rsidRPr="00ED24C4">
        <w:rPr>
          <w:i/>
          <w:iCs/>
        </w:rPr>
        <w:t>or accuracy</w:t>
      </w:r>
      <w:r w:rsidR="00ED24C4">
        <w:t xml:space="preserve"> of the testimony</w:t>
      </w:r>
      <w:r w:rsidR="00BF13D5">
        <w:t xml:space="preserve">.  </w:t>
      </w:r>
      <w:r w:rsidR="00ED24C4">
        <w:t>The cross</w:t>
      </w:r>
      <w:r w:rsidR="000D0EE8">
        <w:t>-</w:t>
      </w:r>
      <w:r w:rsidR="00ED24C4">
        <w:t xml:space="preserve">examination is not </w:t>
      </w:r>
      <w:r>
        <w:t xml:space="preserve">a discovery deposition.  </w:t>
      </w:r>
      <w:r w:rsidR="00ED24C4">
        <w:t xml:space="preserve">You must listen to </w:t>
      </w:r>
      <w:r>
        <w:t>the witness’s response to each question.</w:t>
      </w:r>
      <w:r w:rsidR="00ED24C4">
        <w:t xml:space="preserve">  And never</w:t>
      </w:r>
      <w:r w:rsidR="00BF13D5">
        <w:t xml:space="preserve">—and I mean never—allow </w:t>
      </w:r>
      <w:r w:rsidR="00ED24C4">
        <w:t xml:space="preserve">a </w:t>
      </w:r>
      <w:r>
        <w:t>witness</w:t>
      </w:r>
      <w:r w:rsidR="00C65C44">
        <w:t xml:space="preserve"> </w:t>
      </w:r>
      <w:r w:rsidR="00ED24C4">
        <w:t xml:space="preserve">on cross </w:t>
      </w:r>
      <w:r w:rsidR="005A4EF0">
        <w:t>to revisit harmful</w:t>
      </w:r>
      <w:r w:rsidR="00C65C44">
        <w:t xml:space="preserve"> evidence.</w:t>
      </w:r>
    </w:p>
    <w:p w14:paraId="6A36E586" w14:textId="18DFE3AE" w:rsidR="0094580D" w:rsidRPr="00474D81" w:rsidRDefault="0094580D" w:rsidP="00D91CE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60" w:line="259" w:lineRule="auto"/>
        <w:jc w:val="center"/>
        <w:rPr>
          <w:b/>
          <w:bCs/>
          <w:sz w:val="27"/>
          <w:szCs w:val="27"/>
        </w:rPr>
      </w:pPr>
      <w:r w:rsidRPr="00474D81">
        <w:rPr>
          <w:b/>
          <w:bCs/>
          <w:sz w:val="27"/>
          <w:szCs w:val="27"/>
        </w:rPr>
        <w:t>II.</w:t>
      </w:r>
    </w:p>
    <w:p w14:paraId="5710291C" w14:textId="4ED56A28" w:rsidR="0094580D" w:rsidRDefault="00D5747F" w:rsidP="00D5747F">
      <w:pPr>
        <w:tabs>
          <w:tab w:val="left" w:pos="-1080"/>
          <w:tab w:val="left" w:pos="-720"/>
          <w:tab w:val="left" w:pos="2700"/>
          <w:tab w:val="left" w:pos="8998"/>
        </w:tabs>
        <w:spacing w:line="480" w:lineRule="auto"/>
        <w:jc w:val="center"/>
        <w:rPr>
          <w:b/>
          <w:bCs/>
        </w:rPr>
      </w:pPr>
      <w:r w:rsidRPr="00474D81">
        <w:rPr>
          <w:b/>
          <w:bCs/>
          <w:sz w:val="27"/>
          <w:szCs w:val="27"/>
        </w:rPr>
        <w:t>Tips From the Appellate Bench</w:t>
      </w:r>
      <w:r>
        <w:rPr>
          <w:b/>
          <w:bCs/>
          <w:sz w:val="26"/>
          <w:szCs w:val="26"/>
        </w:rPr>
        <w:t xml:space="preserve"> </w:t>
      </w:r>
    </w:p>
    <w:p w14:paraId="2205F270" w14:textId="0A46F0C9" w:rsidR="0094580D" w:rsidRDefault="00A34F60" w:rsidP="00655D35">
      <w:pPr>
        <w:pStyle w:val="ListParagraph"/>
        <w:numPr>
          <w:ilvl w:val="0"/>
          <w:numId w:val="8"/>
        </w:numPr>
        <w:tabs>
          <w:tab w:val="left" w:pos="-1080"/>
          <w:tab w:val="left" w:pos="-720"/>
          <w:tab w:val="left" w:pos="2700"/>
          <w:tab w:val="left" w:pos="8998"/>
        </w:tabs>
        <w:ind w:left="360"/>
        <w:rPr>
          <w:b/>
          <w:bCs/>
        </w:rPr>
      </w:pPr>
      <w:r w:rsidRPr="00A34F60">
        <w:rPr>
          <w:b/>
          <w:bCs/>
        </w:rPr>
        <w:t>Record Evidence—What Exactly is it?</w:t>
      </w:r>
    </w:p>
    <w:p w14:paraId="5E8FF4C8" w14:textId="77777777" w:rsidR="00A34F60" w:rsidRPr="00A34F60" w:rsidRDefault="00A34F60" w:rsidP="00A34F60">
      <w:pPr>
        <w:tabs>
          <w:tab w:val="left" w:pos="-1080"/>
          <w:tab w:val="left" w:pos="-720"/>
          <w:tab w:val="left" w:pos="2700"/>
          <w:tab w:val="left" w:pos="8998"/>
        </w:tabs>
        <w:rPr>
          <w:b/>
          <w:bCs/>
        </w:rPr>
      </w:pPr>
    </w:p>
    <w:p w14:paraId="072682AC" w14:textId="0F361E80" w:rsidR="000C0CCB" w:rsidRDefault="00CE10B3" w:rsidP="00CE10B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480" w:lineRule="auto"/>
        <w:ind w:firstLine="720"/>
      </w:pPr>
      <w:r>
        <w:t xml:space="preserve">Appellate courts are courts of record and may not review or consider evidence that has not first been properly and officially offered, introduced, and considered in the proceedings below. </w:t>
      </w:r>
      <w:r w:rsidRPr="00CE10B3">
        <w:rPr>
          <w:i/>
          <w:iCs/>
        </w:rPr>
        <w:t>Denoux v. Vessel Mgmt. Servs., Inc.</w:t>
      </w:r>
      <w:r>
        <w:t xml:space="preserve">, 07-2143 (La. 5/21/08), 983 So.2d 84.  </w:t>
      </w:r>
      <w:r w:rsidR="00BE69B3">
        <w:t>Record evidence consists of witness testimony, exhibits admitted in</w:t>
      </w:r>
      <w:r w:rsidR="00645005">
        <w:t>to</w:t>
      </w:r>
      <w:r w:rsidR="00BE69B3">
        <w:t xml:space="preserve"> evidence, stipulations of fact, and </w:t>
      </w:r>
      <w:r w:rsidR="005A4EF0">
        <w:t xml:space="preserve">judicially </w:t>
      </w:r>
      <w:r w:rsidR="00BE69B3">
        <w:t>notice</w:t>
      </w:r>
      <w:r w:rsidR="005A4EF0">
        <w:t>d</w:t>
      </w:r>
      <w:r w:rsidR="00BE69B3">
        <w:t xml:space="preserve"> adjudicative facts or legal matters.  </w:t>
      </w:r>
    </w:p>
    <w:p w14:paraId="330A64CA" w14:textId="0AC0A1A6" w:rsidR="00C77232" w:rsidRDefault="00BE69B3" w:rsidP="0007404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480" w:lineRule="auto"/>
        <w:ind w:firstLine="720"/>
      </w:pPr>
      <w:r>
        <w:t xml:space="preserve">As a lawyer, </w:t>
      </w:r>
      <w:r w:rsidR="000C0CCB">
        <w:t>it</w:t>
      </w:r>
      <w:r w:rsidR="00074049">
        <w:t xml:space="preserve"> is </w:t>
      </w:r>
      <w:r>
        <w:t xml:space="preserve">your job </w:t>
      </w:r>
      <w:r w:rsidR="000C0CCB">
        <w:t xml:space="preserve">to make a record for appeal.  In other words, it is your job </w:t>
      </w:r>
      <w:r>
        <w:t>to call and examine witnesses; it is your job to ensure that exhibits are admitted in</w:t>
      </w:r>
      <w:r w:rsidR="000C0CCB">
        <w:t>to</w:t>
      </w:r>
      <w:r>
        <w:t xml:space="preserve"> evidence by the </w:t>
      </w:r>
      <w:r>
        <w:lastRenderedPageBreak/>
        <w:t>trial court (don’t simply offer an exhibit and move on to the next question); it is</w:t>
      </w:r>
      <w:r w:rsidR="000C0CCB">
        <w:t xml:space="preserve"> your job to make an offer of proof </w:t>
      </w:r>
      <w:r w:rsidR="00645005">
        <w:t xml:space="preserve">for excluded </w:t>
      </w:r>
      <w:r w:rsidR="000C0CCB">
        <w:t>evidence</w:t>
      </w:r>
      <w:r w:rsidR="00645005">
        <w:t>;</w:t>
      </w:r>
      <w:r w:rsidR="000C0CCB">
        <w:t xml:space="preserve"> it is your job to object to </w:t>
      </w:r>
      <w:r w:rsidR="00645005">
        <w:t xml:space="preserve">inadmissible </w:t>
      </w:r>
      <w:r w:rsidR="000C0CCB">
        <w:t xml:space="preserve">evidence; it is your job to </w:t>
      </w:r>
      <w:r w:rsidR="00C77232">
        <w:t>ensure that stipulations of fact are clear, deliberate, and unequivocal</w:t>
      </w:r>
      <w:r w:rsidR="000C0CCB">
        <w:t xml:space="preserve">; and the list goes on.  </w:t>
      </w:r>
      <w:r>
        <w:t xml:space="preserve">        </w:t>
      </w:r>
    </w:p>
    <w:p w14:paraId="71E5C8E5" w14:textId="1B06210B" w:rsidR="00370584" w:rsidRDefault="00074049" w:rsidP="0055051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480" w:lineRule="auto"/>
        <w:ind w:firstLine="720"/>
      </w:pPr>
      <w:r>
        <w:t xml:space="preserve">Never submit a case </w:t>
      </w:r>
      <w:r w:rsidR="00E076BD">
        <w:t xml:space="preserve">for decision </w:t>
      </w:r>
      <w:r>
        <w:t xml:space="preserve">on </w:t>
      </w:r>
      <w:r w:rsidR="00E076BD">
        <w:t>brief</w:t>
      </w:r>
      <w:r w:rsidR="00645005">
        <w:t>s</w:t>
      </w:r>
      <w:r w:rsidR="00E076BD">
        <w:t xml:space="preserve">.  In </w:t>
      </w:r>
      <w:r w:rsidR="00370584" w:rsidRPr="00370584">
        <w:rPr>
          <w:i/>
          <w:iCs/>
        </w:rPr>
        <w:t>Tankersley v. Kozielski</w:t>
      </w:r>
      <w:r w:rsidR="00370584">
        <w:t xml:space="preserve">, </w:t>
      </w:r>
      <w:r w:rsidR="00645005" w:rsidRPr="00645005">
        <w:t>2010-540</w:t>
      </w:r>
      <w:r w:rsidR="00645005">
        <w:t xml:space="preserve"> (La. App. 3 Cir. 11/3/10), </w:t>
      </w:r>
      <w:r w:rsidR="00370584">
        <w:t xml:space="preserve">50 So. 3d 962, </w:t>
      </w:r>
      <w:r w:rsidR="00E076BD">
        <w:t>t</w:t>
      </w:r>
      <w:r w:rsidR="00370584">
        <w:t xml:space="preserve">he trial court </w:t>
      </w:r>
      <w:r w:rsidR="00AD7B91">
        <w:t xml:space="preserve">rendered a </w:t>
      </w:r>
      <w:r w:rsidR="00E076BD">
        <w:t xml:space="preserve">child support </w:t>
      </w:r>
      <w:r w:rsidR="00AD7B91">
        <w:t xml:space="preserve">judgment based only on the submission of briefs and </w:t>
      </w:r>
      <w:r w:rsidR="00E076BD">
        <w:t xml:space="preserve">the documents </w:t>
      </w:r>
      <w:r w:rsidR="00AD7B91">
        <w:t>attach</w:t>
      </w:r>
      <w:r w:rsidR="00E076BD">
        <w:t>ed</w:t>
      </w:r>
      <w:r w:rsidR="00AD7B91">
        <w:t xml:space="preserve"> </w:t>
      </w:r>
      <w:r w:rsidR="00C77AEC">
        <w:t>thereto</w:t>
      </w:r>
      <w:r w:rsidR="00AD7B91">
        <w:t xml:space="preserve">.  In vacating the judgment and remanding the case for an evidentiary hearing, the third circuit explained </w:t>
      </w:r>
      <w:r w:rsidR="00DE287E">
        <w:t>that “</w:t>
      </w:r>
      <w:r w:rsidR="00DE287E" w:rsidRPr="00DE287E">
        <w:t>no evidence has been formally introduced in the trial court because there was never a proceeding at which the evidence could be introduced.</w:t>
      </w:r>
      <w:r w:rsidR="00DE287E">
        <w:t xml:space="preserve">” </w:t>
      </w:r>
      <w:r w:rsidR="00DE287E" w:rsidRPr="00DE287E">
        <w:rPr>
          <w:i/>
          <w:iCs/>
        </w:rPr>
        <w:t>Id</w:t>
      </w:r>
      <w:r w:rsidR="00DE287E">
        <w:t>. at 964.</w:t>
      </w:r>
      <w:r w:rsidR="00AD7B91">
        <w:t xml:space="preserve"> </w:t>
      </w:r>
    </w:p>
    <w:p w14:paraId="753F7A72" w14:textId="77777777" w:rsidR="00CF3EB1" w:rsidRDefault="00CF3EB1" w:rsidP="00655D35">
      <w:pPr>
        <w:pStyle w:val="ListParagraph"/>
        <w:widowControl/>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60" w:line="259" w:lineRule="auto"/>
        <w:ind w:left="360"/>
        <w:rPr>
          <w:b/>
          <w:bCs/>
        </w:rPr>
      </w:pPr>
      <w:r>
        <w:rPr>
          <w:b/>
          <w:bCs/>
        </w:rPr>
        <w:t>The Offer of Proof</w:t>
      </w:r>
    </w:p>
    <w:p w14:paraId="1464ACA2" w14:textId="226EA714" w:rsidR="00CF3EB1" w:rsidRPr="007A5C6A" w:rsidRDefault="00E076BD" w:rsidP="00550513">
      <w:pPr>
        <w:tabs>
          <w:tab w:val="left" w:pos="-1080"/>
          <w:tab w:val="left" w:pos="-720"/>
          <w:tab w:val="left" w:pos="360"/>
          <w:tab w:val="left" w:pos="1080"/>
          <w:tab w:val="left" w:pos="1800"/>
        </w:tabs>
        <w:spacing w:after="120" w:line="480" w:lineRule="auto"/>
        <w:rPr>
          <w:rFonts w:eastAsia="Yu Gothic UI"/>
        </w:rPr>
      </w:pPr>
      <w:r>
        <w:rPr>
          <w:rFonts w:eastAsia="Yu Gothic UI"/>
        </w:rPr>
        <w:tab/>
      </w:r>
      <w:r>
        <w:rPr>
          <w:rFonts w:eastAsia="Yu Gothic UI"/>
        </w:rPr>
        <w:tab/>
        <w:t xml:space="preserve">If a witness in your </w:t>
      </w:r>
      <w:r w:rsidR="00EF7C5E">
        <w:rPr>
          <w:rFonts w:eastAsia="Yu Gothic UI"/>
        </w:rPr>
        <w:t>case</w:t>
      </w:r>
      <w:r w:rsidR="007A5C6A">
        <w:rPr>
          <w:rFonts w:eastAsia="Yu Gothic UI"/>
        </w:rPr>
        <w:t xml:space="preserve"> is </w:t>
      </w:r>
      <w:r w:rsidR="00CF3EB1" w:rsidRPr="00CF3EB1">
        <w:rPr>
          <w:rFonts w:eastAsia="Yu Gothic UI"/>
        </w:rPr>
        <w:t>excluded</w:t>
      </w:r>
      <w:r w:rsidR="00DE287E">
        <w:rPr>
          <w:rFonts w:eastAsia="Yu Gothic UI"/>
        </w:rPr>
        <w:t xml:space="preserve"> </w:t>
      </w:r>
      <w:r w:rsidR="007A5C6A">
        <w:rPr>
          <w:rFonts w:eastAsia="Yu Gothic UI"/>
        </w:rPr>
        <w:t xml:space="preserve">from testifying </w:t>
      </w:r>
      <w:r w:rsidR="00DE287E">
        <w:rPr>
          <w:rFonts w:eastAsia="Yu Gothic UI"/>
        </w:rPr>
        <w:t>at trial</w:t>
      </w:r>
      <w:r w:rsidR="00CF3EB1" w:rsidRPr="00CF3EB1">
        <w:rPr>
          <w:rFonts w:eastAsia="Yu Gothic UI"/>
        </w:rPr>
        <w:t xml:space="preserve">, </w:t>
      </w:r>
      <w:r>
        <w:rPr>
          <w:rFonts w:eastAsia="Yu Gothic UI"/>
        </w:rPr>
        <w:t>you have</w:t>
      </w:r>
      <w:r w:rsidR="00CF3EB1" w:rsidRPr="00CF3EB1">
        <w:rPr>
          <w:rFonts w:eastAsia="Yu Gothic UI"/>
        </w:rPr>
        <w:t xml:space="preserve"> the right to make an offer of proof, but the court prescribe</w:t>
      </w:r>
      <w:r w:rsidR="00DE287E">
        <w:rPr>
          <w:rFonts w:eastAsia="Yu Gothic UI"/>
        </w:rPr>
        <w:t>s</w:t>
      </w:r>
      <w:r w:rsidR="00CF3EB1" w:rsidRPr="00CF3EB1">
        <w:rPr>
          <w:rFonts w:eastAsia="Yu Gothic UI"/>
        </w:rPr>
        <w:t xml:space="preserve"> the form in which the offer is made.</w:t>
      </w:r>
      <w:r w:rsidR="00DE287E">
        <w:rPr>
          <w:rFonts w:eastAsia="Yu Gothic UI"/>
        </w:rPr>
        <w:t xml:space="preserve"> La. Code Civ. Proc. art. 1636.  </w:t>
      </w:r>
      <w:r w:rsidR="003C0B1E">
        <w:rPr>
          <w:rFonts w:eastAsia="Yu Gothic UI"/>
        </w:rPr>
        <w:t xml:space="preserve">Examining the </w:t>
      </w:r>
      <w:r w:rsidR="00EF7C5E">
        <w:rPr>
          <w:rFonts w:eastAsia="Yu Gothic UI"/>
        </w:rPr>
        <w:t>excluded witness during a recess</w:t>
      </w:r>
      <w:r w:rsidR="003C0B1E">
        <w:rPr>
          <w:rFonts w:eastAsia="Yu Gothic UI"/>
        </w:rPr>
        <w:t xml:space="preserve"> is preferable</w:t>
      </w:r>
      <w:r w:rsidR="007A5C6A">
        <w:rPr>
          <w:rFonts w:eastAsia="Yu Gothic UI"/>
        </w:rPr>
        <w:t xml:space="preserve"> to simply summarizing what the witness would have said.  Of course, the examination on the proffer takes place outside of the judge’s presence.  </w:t>
      </w:r>
    </w:p>
    <w:p w14:paraId="53C8C803" w14:textId="7E059D7A" w:rsidR="00A34F60" w:rsidRDefault="006C7261" w:rsidP="00655D35">
      <w:pPr>
        <w:pStyle w:val="ListParagraph"/>
        <w:widowControl/>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60" w:line="259" w:lineRule="auto"/>
        <w:ind w:left="360"/>
        <w:rPr>
          <w:b/>
          <w:bCs/>
        </w:rPr>
      </w:pPr>
      <w:r>
        <w:rPr>
          <w:b/>
          <w:bCs/>
        </w:rPr>
        <w:t>Assignment of Error</w:t>
      </w:r>
      <w:r w:rsidR="00F31C95">
        <w:rPr>
          <w:b/>
          <w:bCs/>
        </w:rPr>
        <w:t>s</w:t>
      </w:r>
    </w:p>
    <w:p w14:paraId="0AF49209" w14:textId="1384621A" w:rsidR="00F31C95" w:rsidRDefault="00F31C95" w:rsidP="004A600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480" w:lineRule="auto"/>
        <w:ind w:firstLine="720"/>
      </w:pPr>
      <w:r w:rsidRPr="00F31C95">
        <w:t>Louisiana Code of Civil Procedure article 2129 states: “An assignment of errors is not necessary in any appeal. . . .”</w:t>
      </w:r>
    </w:p>
    <w:p w14:paraId="096B3014" w14:textId="19A22F84" w:rsidR="00040FBC" w:rsidRDefault="00F31C95" w:rsidP="004A600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480" w:lineRule="auto"/>
        <w:ind w:firstLine="720"/>
      </w:pPr>
      <w:r>
        <w:t>Notwithstanding the above, t</w:t>
      </w:r>
      <w:r w:rsidR="006C7261">
        <w:t xml:space="preserve">he drafting of the assignments of </w:t>
      </w:r>
      <w:r w:rsidR="00040FBC">
        <w:t xml:space="preserve">alleged </w:t>
      </w:r>
      <w:r w:rsidR="006C7261">
        <w:t>error</w:t>
      </w:r>
      <w:r w:rsidR="00040FBC">
        <w:t>s</w:t>
      </w:r>
      <w:r w:rsidR="007E1948">
        <w:t xml:space="preserve"> is perhaps the most critical part of the appeal.  </w:t>
      </w:r>
      <w:r w:rsidR="000D6385">
        <w:t>While s</w:t>
      </w:r>
      <w:r w:rsidR="007E1948">
        <w:t xml:space="preserve">uccess at trial depends on </w:t>
      </w:r>
      <w:r w:rsidR="000D6385">
        <w:t xml:space="preserve">evidence and </w:t>
      </w:r>
      <w:r w:rsidR="007E1948">
        <w:t>burden</w:t>
      </w:r>
      <w:r w:rsidR="004A600B">
        <w:t>s</w:t>
      </w:r>
      <w:r w:rsidR="007E1948">
        <w:t xml:space="preserve"> of proof</w:t>
      </w:r>
      <w:r w:rsidR="000D6385">
        <w:t>, s</w:t>
      </w:r>
      <w:r w:rsidR="007E1948">
        <w:t xml:space="preserve">uccess on appeal depends on the </w:t>
      </w:r>
      <w:r w:rsidR="000D6385">
        <w:t xml:space="preserve">record and </w:t>
      </w:r>
      <w:r w:rsidR="007E1948">
        <w:t>standard</w:t>
      </w:r>
      <w:r w:rsidR="004A600B">
        <w:t>s</w:t>
      </w:r>
      <w:r w:rsidR="007E1948">
        <w:t xml:space="preserve"> of </w:t>
      </w:r>
      <w:r w:rsidR="000D6385">
        <w:t xml:space="preserve">appellate </w:t>
      </w:r>
      <w:r w:rsidR="007E1948">
        <w:t>review.</w:t>
      </w:r>
      <w:r w:rsidR="00E82A01">
        <w:t xml:space="preserve">  </w:t>
      </w:r>
      <w:r w:rsidR="000D6385">
        <w:t xml:space="preserve">And </w:t>
      </w:r>
      <w:r w:rsidR="00A64569">
        <w:t xml:space="preserve">which </w:t>
      </w:r>
      <w:r w:rsidR="000D6385">
        <w:t xml:space="preserve">standard of appellate review is appropriate depends on the assignment of error. </w:t>
      </w:r>
    </w:p>
    <w:p w14:paraId="387438E2" w14:textId="3AF4CDDD" w:rsidR="004A600B" w:rsidRDefault="007E1948" w:rsidP="004A600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480" w:lineRule="auto"/>
        <w:ind w:firstLine="720"/>
      </w:pPr>
      <w:r>
        <w:lastRenderedPageBreak/>
        <w:t xml:space="preserve"> </w:t>
      </w:r>
      <w:r w:rsidR="00040FBC">
        <w:t xml:space="preserve">The </w:t>
      </w:r>
      <w:r w:rsidR="00040FBC" w:rsidRPr="00040FBC">
        <w:t xml:space="preserve">standards </w:t>
      </w:r>
      <w:r w:rsidR="00880D4E">
        <w:t xml:space="preserve">of </w:t>
      </w:r>
      <w:r w:rsidR="00040FBC" w:rsidRPr="00040FBC">
        <w:t>appellate review are</w:t>
      </w:r>
      <w:r w:rsidR="00040FBC">
        <w:t xml:space="preserve"> </w:t>
      </w:r>
      <w:r w:rsidR="00040FBC" w:rsidRPr="00040FBC">
        <w:t xml:space="preserve">(1) </w:t>
      </w:r>
      <w:r w:rsidR="00040FBC">
        <w:t xml:space="preserve">manifest error, </w:t>
      </w:r>
      <w:r w:rsidR="00040FBC" w:rsidRPr="00040FBC">
        <w:t xml:space="preserve">(2) </w:t>
      </w:r>
      <w:r w:rsidR="00040FBC">
        <w:t xml:space="preserve">de novo review, </w:t>
      </w:r>
      <w:r w:rsidR="00040FBC" w:rsidRPr="00040FBC">
        <w:t>and (3) abuse of discretion</w:t>
      </w:r>
      <w:r w:rsidR="00040FBC">
        <w:t>.</w:t>
      </w:r>
      <w:r>
        <w:t xml:space="preserve"> </w:t>
      </w:r>
      <w:r w:rsidR="005E54B0">
        <w:t xml:space="preserve">  </w:t>
      </w:r>
    </w:p>
    <w:p w14:paraId="6100E984" w14:textId="17911102" w:rsidR="00A90F6F" w:rsidRPr="00880D4E" w:rsidRDefault="00F12CDB" w:rsidP="00880D4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480" w:lineRule="auto"/>
        <w:ind w:firstLine="720"/>
      </w:pPr>
      <w:r w:rsidRPr="00F12CDB">
        <w:t xml:space="preserve">The </w:t>
      </w:r>
      <w:r>
        <w:t xml:space="preserve">manifest error </w:t>
      </w:r>
      <w:r w:rsidRPr="00F12CDB">
        <w:t xml:space="preserve">standard </w:t>
      </w:r>
      <w:r>
        <w:t xml:space="preserve">of review is used for </w:t>
      </w:r>
      <w:r w:rsidRPr="00F12CDB">
        <w:t>measuring the fact-finding function</w:t>
      </w:r>
      <w:r>
        <w:t xml:space="preserve"> of the trial court.  Under this standard, the </w:t>
      </w:r>
      <w:r w:rsidRPr="00F12CDB">
        <w:t>trial court</w:t>
      </w:r>
      <w:r w:rsidR="00880D4E">
        <w:t>’</w:t>
      </w:r>
      <w:r w:rsidRPr="00F12CDB">
        <w:t>s factual findings</w:t>
      </w:r>
      <w:r>
        <w:t xml:space="preserve"> are given great weight, such that a </w:t>
      </w:r>
      <w:r w:rsidR="00A64569" w:rsidRPr="00A64569">
        <w:t>factual finding</w:t>
      </w:r>
      <w:r w:rsidR="00A64569">
        <w:t xml:space="preserve"> </w:t>
      </w:r>
      <w:r w:rsidR="00A64569" w:rsidRPr="00A64569">
        <w:t>cannot be set aside unless the appellate court finds that it is manifestly erroneous or clearly wrong.</w:t>
      </w:r>
      <w:r w:rsidR="00A64569">
        <w:t xml:space="preserve"> </w:t>
      </w:r>
      <w:r w:rsidR="00A64569" w:rsidRPr="00A64569">
        <w:rPr>
          <w:i/>
          <w:iCs/>
        </w:rPr>
        <w:t>Stobart v. State through Dept. of Transp. and Development</w:t>
      </w:r>
      <w:r w:rsidR="00A64569" w:rsidRPr="00A64569">
        <w:t>, 617 So.</w:t>
      </w:r>
      <w:r w:rsidR="00A64569">
        <w:t xml:space="preserve"> </w:t>
      </w:r>
      <w:r w:rsidR="00A64569" w:rsidRPr="00A64569">
        <w:t>2d 880, 882 (La.</w:t>
      </w:r>
      <w:r w:rsidR="00A90F6F">
        <w:t xml:space="preserve"> </w:t>
      </w:r>
      <w:r w:rsidR="00A64569" w:rsidRPr="00A64569">
        <w:t>1993).</w:t>
      </w:r>
      <w:r w:rsidR="00880D4E">
        <w:t xml:space="preserve">  This means that </w:t>
      </w:r>
      <w:r w:rsidR="00A64569" w:rsidRPr="00A64569">
        <w:t>an appellate court must review the record in its entirety and (1) find that a reasonable factual basis does not exist for the finding, and (2) further determine that the record establishes that the fact finder is clearly wrong or manifestly erroneous.</w:t>
      </w:r>
      <w:r w:rsidR="00A90F6F">
        <w:t xml:space="preserve"> </w:t>
      </w:r>
      <w:r w:rsidR="00A90F6F">
        <w:rPr>
          <w:i/>
          <w:iCs/>
        </w:rPr>
        <w:t>Id.</w:t>
      </w:r>
      <w:r w:rsidR="00BD4E75">
        <w:rPr>
          <w:i/>
          <w:iCs/>
        </w:rPr>
        <w:t xml:space="preserve">  </w:t>
      </w:r>
      <w:r w:rsidR="00880D4E">
        <w:t>T</w:t>
      </w:r>
      <w:r w:rsidR="00FE4EB6" w:rsidRPr="00FE4EB6">
        <w:t xml:space="preserve">he issue to be resolved </w:t>
      </w:r>
      <w:r w:rsidR="00880D4E">
        <w:t xml:space="preserve">in reviewing a </w:t>
      </w:r>
      <w:r w:rsidR="00FE4EB6" w:rsidRPr="00FE4EB6">
        <w:t>trial court</w:t>
      </w:r>
      <w:r w:rsidR="00880D4E">
        <w:t>’</w:t>
      </w:r>
      <w:r w:rsidR="00FE4EB6" w:rsidRPr="00FE4EB6">
        <w:t>s findings of fact is not whether the trier of fact was wrong but whether the factfinder</w:t>
      </w:r>
      <w:r w:rsidR="00880D4E">
        <w:t>’</w:t>
      </w:r>
      <w:r w:rsidR="00FE4EB6" w:rsidRPr="00FE4EB6">
        <w:t>s conclusions were reasonable.</w:t>
      </w:r>
    </w:p>
    <w:p w14:paraId="0DF626B3" w14:textId="2559FD58" w:rsidR="00085E3E" w:rsidRDefault="00FD4D90" w:rsidP="00FD4D9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480" w:lineRule="auto"/>
        <w:ind w:firstLine="720"/>
      </w:pPr>
      <w:r>
        <w:t xml:space="preserve">De novo review is used for pure legal questions or </w:t>
      </w:r>
      <w:r w:rsidR="00FA269B" w:rsidRPr="00FA269B">
        <w:t>whe</w:t>
      </w:r>
      <w:r w:rsidR="00FA269B">
        <w:t>n</w:t>
      </w:r>
      <w:r w:rsidR="00FA269B" w:rsidRPr="00FA269B">
        <w:t xml:space="preserve"> one or more legal errors interdict the </w:t>
      </w:r>
      <w:r w:rsidR="001F794E">
        <w:t xml:space="preserve">trial court’s </w:t>
      </w:r>
      <w:r w:rsidR="00FA269B" w:rsidRPr="00FA269B">
        <w:t>fact-finding process</w:t>
      </w:r>
      <w:r w:rsidR="00FA269B">
        <w:t xml:space="preserve">. </w:t>
      </w:r>
      <w:r w:rsidR="00FA269B" w:rsidRPr="00FA269B">
        <w:rPr>
          <w:i/>
          <w:iCs/>
        </w:rPr>
        <w:t>Evans v. Lungrin</w:t>
      </w:r>
      <w:r w:rsidR="00FA269B">
        <w:t xml:space="preserve">, </w:t>
      </w:r>
      <w:r w:rsidR="00FA269B" w:rsidRPr="00FA269B">
        <w:t>708 So.</w:t>
      </w:r>
      <w:r w:rsidR="00FA269B">
        <w:t xml:space="preserve"> </w:t>
      </w:r>
      <w:r w:rsidR="00FA269B" w:rsidRPr="00FA269B">
        <w:t>2d 731</w:t>
      </w:r>
      <w:r w:rsidR="00FA269B">
        <w:t xml:space="preserve">, 735 </w:t>
      </w:r>
      <w:r w:rsidR="00FA269B" w:rsidRPr="00FA269B">
        <w:t xml:space="preserve">(La. </w:t>
      </w:r>
      <w:r w:rsidR="00FA269B">
        <w:t>19</w:t>
      </w:r>
      <w:r w:rsidR="00FA269B" w:rsidRPr="00FA269B">
        <w:t>98)</w:t>
      </w:r>
      <w:r w:rsidR="00FA269B">
        <w:t>.</w:t>
      </w:r>
      <w:r>
        <w:t xml:space="preserve">  </w:t>
      </w:r>
      <w:r w:rsidR="00FA269B" w:rsidRPr="00FA269B">
        <w:t>A legal error occurs</w:t>
      </w:r>
      <w:r>
        <w:t xml:space="preserve"> </w:t>
      </w:r>
      <w:r w:rsidR="00FA269B" w:rsidRPr="00FA269B">
        <w:t>when a trial court applies incorrect principles of law and such errors are prejudicial.</w:t>
      </w:r>
      <w:r w:rsidR="00FA269B">
        <w:t xml:space="preserve"> </w:t>
      </w:r>
      <w:r w:rsidR="00FA269B" w:rsidRPr="00FA269B">
        <w:rPr>
          <w:i/>
          <w:iCs/>
        </w:rPr>
        <w:t>Id</w:t>
      </w:r>
      <w:r w:rsidR="00FA269B">
        <w:t xml:space="preserve">.  </w:t>
      </w:r>
      <w:r w:rsidR="00FA269B" w:rsidRPr="00FA269B">
        <w:t>Legal errors are prejudicial when they materially affect the outcome and deprive a party of substantial rights.</w:t>
      </w:r>
      <w:r w:rsidR="00FA269B">
        <w:t xml:space="preserve"> </w:t>
      </w:r>
      <w:r w:rsidR="00FA269B" w:rsidRPr="00FA269B">
        <w:rPr>
          <w:i/>
          <w:iCs/>
        </w:rPr>
        <w:t>Id</w:t>
      </w:r>
      <w:r w:rsidR="00FA269B" w:rsidRPr="00FA269B">
        <w:t>.</w:t>
      </w:r>
      <w:r>
        <w:t xml:space="preserve">  </w:t>
      </w:r>
      <w:r w:rsidR="00085E3E">
        <w:t>Und</w:t>
      </w:r>
      <w:r w:rsidR="00FA269B">
        <w:t>er the de novo standard of review</w:t>
      </w:r>
      <w:r w:rsidR="00085E3E">
        <w:t xml:space="preserve">, </w:t>
      </w:r>
      <w:r w:rsidR="00085E3E" w:rsidRPr="00085E3E">
        <w:t>the appellate court makes an independent determination of the facts from the record on appeal.</w:t>
      </w:r>
      <w:r w:rsidR="00085E3E">
        <w:t xml:space="preserve">  </w:t>
      </w:r>
      <w:r w:rsidR="00085E3E" w:rsidRPr="00085E3E">
        <w:t>The appellate court then decides the case on the record facts without according any deference to the factual findings of the trial court</w:t>
      </w:r>
      <w:r w:rsidR="00085E3E">
        <w:t>.</w:t>
      </w:r>
      <w:r w:rsidR="00FA269B">
        <w:t xml:space="preserve"> </w:t>
      </w:r>
    </w:p>
    <w:p w14:paraId="673AE266" w14:textId="2BDCB7FF" w:rsidR="00A866C7" w:rsidRPr="00FD4D90" w:rsidRDefault="009C3CCB" w:rsidP="00C9488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480" w:lineRule="auto"/>
        <w:ind w:firstLine="720"/>
      </w:pPr>
      <w:r>
        <w:t xml:space="preserve">The abuse of discretion </w:t>
      </w:r>
      <w:r w:rsidRPr="009C3CCB">
        <w:t xml:space="preserve">standard </w:t>
      </w:r>
      <w:r>
        <w:t xml:space="preserve">is used to review factual findings in matters </w:t>
      </w:r>
      <w:r w:rsidRPr="009C3CCB">
        <w:t xml:space="preserve">which the trial court is given great discretion, such </w:t>
      </w:r>
      <w:r w:rsidR="00FD4D90">
        <w:t xml:space="preserve">as </w:t>
      </w:r>
      <w:r>
        <w:t>custody and visitation.</w:t>
      </w:r>
      <w:r w:rsidR="00FD4D90">
        <w:t xml:space="preserve"> </w:t>
      </w:r>
      <w:r w:rsidRPr="009C3CCB">
        <w:rPr>
          <w:i/>
          <w:iCs/>
        </w:rPr>
        <w:t>Bergeron v. Bergeron</w:t>
      </w:r>
      <w:r w:rsidRPr="009C3CCB">
        <w:t>, 492 So. 2d 1193 (La. 1986)</w:t>
      </w:r>
      <w:r>
        <w:t>.</w:t>
      </w:r>
      <w:r w:rsidR="00A866C7">
        <w:t xml:space="preserve">  </w:t>
      </w:r>
      <w:r w:rsidR="001855E2">
        <w:t xml:space="preserve">Under this standard, a trial court’s determination can </w:t>
      </w:r>
      <w:r>
        <w:t xml:space="preserve">only </w:t>
      </w:r>
      <w:r w:rsidR="001855E2">
        <w:t xml:space="preserve">be set aside if it </w:t>
      </w:r>
      <w:r w:rsidR="001855E2">
        <w:lastRenderedPageBreak/>
        <w:t xml:space="preserve">arises from an abuse of discretion, such as when </w:t>
      </w:r>
      <w:r w:rsidR="00A866C7">
        <w:t xml:space="preserve">the factual finding </w:t>
      </w:r>
      <w:r w:rsidR="001855E2">
        <w:t xml:space="preserve">is not supported by any fair interpretation of the record evidence. </w:t>
      </w:r>
      <w:r w:rsidR="001855E2" w:rsidRPr="00617450">
        <w:rPr>
          <w:i/>
          <w:iCs/>
        </w:rPr>
        <w:t>Gibson v. Bossier City General Hosp</w:t>
      </w:r>
      <w:r w:rsidR="00A84828">
        <w:rPr>
          <w:i/>
          <w:iCs/>
        </w:rPr>
        <w:t>.</w:t>
      </w:r>
      <w:r w:rsidR="001855E2">
        <w:t>, 594 So. 2d 1332,</w:t>
      </w:r>
      <w:r w:rsidR="00A84828">
        <w:t xml:space="preserve"> 1336</w:t>
      </w:r>
      <w:r w:rsidR="001855E2">
        <w:t xml:space="preserve"> (La. App. 2d Cir. 1991).  </w:t>
      </w:r>
    </w:p>
    <w:p w14:paraId="23806CCF" w14:textId="6002FBC5" w:rsidR="00A34F60" w:rsidRDefault="006C7261" w:rsidP="00655D35">
      <w:pPr>
        <w:pStyle w:val="ListParagraph"/>
        <w:widowControl/>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60" w:line="259" w:lineRule="auto"/>
        <w:ind w:left="360"/>
        <w:rPr>
          <w:b/>
          <w:bCs/>
        </w:rPr>
      </w:pPr>
      <w:r>
        <w:rPr>
          <w:b/>
          <w:bCs/>
        </w:rPr>
        <w:t>Brief Writing</w:t>
      </w:r>
      <w:r w:rsidR="00A34F60">
        <w:rPr>
          <w:b/>
          <w:bCs/>
        </w:rPr>
        <w:t xml:space="preserve"> </w:t>
      </w:r>
    </w:p>
    <w:p w14:paraId="05F641C2" w14:textId="474373EE" w:rsidR="007A5C6A" w:rsidRDefault="00E34A93" w:rsidP="00C9488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480" w:lineRule="auto"/>
        <w:ind w:firstLine="720"/>
      </w:pPr>
      <w:r>
        <w:t xml:space="preserve">The </w:t>
      </w:r>
      <w:r w:rsidR="00EF7C5E">
        <w:t xml:space="preserve">main </w:t>
      </w:r>
      <w:r w:rsidR="007918FA">
        <w:t xml:space="preserve">trait </w:t>
      </w:r>
      <w:r>
        <w:t>of excellent briefs is that they are easy to follow.</w:t>
      </w:r>
      <w:r w:rsidR="007918FA">
        <w:t xml:space="preserve">  </w:t>
      </w:r>
      <w:r w:rsidR="006775E1">
        <w:t>Arguments are simple and straight forward, and paragraphs are linked together so that</w:t>
      </w:r>
      <w:r w:rsidR="006807DA">
        <w:t xml:space="preserve"> one paragraph flows into the next</w:t>
      </w:r>
      <w:r w:rsidR="006775E1">
        <w:t xml:space="preserve">.  </w:t>
      </w:r>
      <w:r w:rsidR="00015909">
        <w:t>A few other tips.  D</w:t>
      </w:r>
      <w:r w:rsidR="007918FA" w:rsidRPr="007918FA">
        <w:t xml:space="preserve">isjointed and unfocused </w:t>
      </w:r>
      <w:r w:rsidR="00015909">
        <w:t xml:space="preserve">arguments </w:t>
      </w:r>
      <w:r w:rsidR="006775E1">
        <w:t>are not helpful</w:t>
      </w:r>
      <w:r w:rsidR="007918FA" w:rsidRPr="007918FA">
        <w:t>.</w:t>
      </w:r>
      <w:r w:rsidR="00015909">
        <w:t xml:space="preserve">  </w:t>
      </w:r>
      <w:r w:rsidR="00EF7C5E">
        <w:t>O</w:t>
      </w:r>
      <w:r w:rsidR="007918FA">
        <w:t xml:space="preserve">nly </w:t>
      </w:r>
      <w:r w:rsidR="00EF7C5E">
        <w:t xml:space="preserve">use </w:t>
      </w:r>
      <w:r w:rsidR="00A809A4">
        <w:t xml:space="preserve">long </w:t>
      </w:r>
      <w:r w:rsidR="00EF7C5E">
        <w:t xml:space="preserve">quotes </w:t>
      </w:r>
      <w:r w:rsidR="007918FA">
        <w:t>to buttress your analysis, not to replace it</w:t>
      </w:r>
      <w:r w:rsidR="006775E1">
        <w:t xml:space="preserve">.  And avoid </w:t>
      </w:r>
      <w:r w:rsidR="007918FA" w:rsidRPr="007918FA">
        <w:t>refer</w:t>
      </w:r>
      <w:r w:rsidR="006775E1">
        <w:t>ring</w:t>
      </w:r>
      <w:r w:rsidR="007918FA" w:rsidRPr="007918FA">
        <w:t xml:space="preserve"> to the parties as Appellant and Appellee.</w:t>
      </w:r>
      <w:r w:rsidR="007918FA">
        <w:t xml:space="preserve">  </w:t>
      </w:r>
      <w:r w:rsidR="007A5C6A">
        <w:t xml:space="preserve">     </w:t>
      </w:r>
    </w:p>
    <w:p w14:paraId="41E9C732" w14:textId="1502E581" w:rsidR="006C7261" w:rsidRDefault="006C7261" w:rsidP="00655D35">
      <w:pPr>
        <w:pStyle w:val="ListParagraph"/>
        <w:widowControl/>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60" w:line="259" w:lineRule="auto"/>
        <w:ind w:left="360"/>
        <w:rPr>
          <w:b/>
          <w:bCs/>
        </w:rPr>
      </w:pPr>
      <w:r>
        <w:rPr>
          <w:b/>
          <w:bCs/>
        </w:rPr>
        <w:t>Jurisdictional Issues</w:t>
      </w:r>
    </w:p>
    <w:p w14:paraId="09B68713" w14:textId="6EA33098" w:rsidR="00954EB7" w:rsidRDefault="008120B8" w:rsidP="00954EB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480" w:lineRule="auto"/>
        <w:ind w:firstLine="720"/>
      </w:pPr>
      <w:r>
        <w:t xml:space="preserve">In </w:t>
      </w:r>
      <w:r w:rsidRPr="008120B8">
        <w:rPr>
          <w:i/>
          <w:iCs/>
        </w:rPr>
        <w:t>Barnett &amp; Associates, LLC. v. Whiteside</w:t>
      </w:r>
      <w:r w:rsidRPr="008120B8">
        <w:t xml:space="preserve">, </w:t>
      </w:r>
      <w:r w:rsidR="00A866C7" w:rsidRPr="00A866C7">
        <w:t>20-362</w:t>
      </w:r>
      <w:r w:rsidR="00A866C7">
        <w:t>, pp. 2-3</w:t>
      </w:r>
      <w:r w:rsidR="00A866C7" w:rsidRPr="00A866C7">
        <w:t xml:space="preserve"> </w:t>
      </w:r>
      <w:r w:rsidRPr="008120B8">
        <w:t>(La.</w:t>
      </w:r>
      <w:r>
        <w:t xml:space="preserve"> </w:t>
      </w:r>
      <w:r w:rsidRPr="008120B8">
        <w:t>App. 5</w:t>
      </w:r>
      <w:r w:rsidRPr="008120B8">
        <w:rPr>
          <w:vertAlign w:val="superscript"/>
        </w:rPr>
        <w:t>th</w:t>
      </w:r>
      <w:r>
        <w:t xml:space="preserve"> </w:t>
      </w:r>
      <w:r w:rsidRPr="008120B8">
        <w:t>Cir. 2020)</w:t>
      </w:r>
      <w:r>
        <w:t xml:space="preserve">, </w:t>
      </w:r>
      <w:r w:rsidR="00A866C7" w:rsidRPr="00A866C7">
        <w:t>308 So. 3d 1218, 1220-21</w:t>
      </w:r>
      <w:r w:rsidR="00A866C7">
        <w:t xml:space="preserve">, </w:t>
      </w:r>
      <w:r w:rsidR="00954EB7">
        <w:t xml:space="preserve">the fifth circuit </w:t>
      </w:r>
      <w:r>
        <w:t xml:space="preserve">distinguished appellate jurisdiction from </w:t>
      </w:r>
      <w:r w:rsidR="00954EB7">
        <w:t xml:space="preserve">supervisory jurisdiction, explaining as follows: </w:t>
      </w:r>
    </w:p>
    <w:p w14:paraId="3B74B8BC" w14:textId="0C251E74" w:rsidR="008120B8" w:rsidRDefault="008120B8" w:rsidP="00954EB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008" w:right="1008" w:firstLine="432"/>
      </w:pPr>
      <w:r>
        <w:t xml:space="preserve">An appeal is the exercise of the right of a party to have a judgment of a trial court revised, modified, set aside, or reversed by an appellate court. La. C.C.P. Art. 2082. </w:t>
      </w:r>
      <w:r w:rsidR="00954EB7">
        <w:t xml:space="preserve"> </w:t>
      </w:r>
      <w:r>
        <w:t xml:space="preserve">A final judgment is appealable in all cases in which appeals are given by law, while an interlocutory judgment is appealable only when expressly provided by law. La. C.C.P. Art. 2083; </w:t>
      </w:r>
      <w:r w:rsidRPr="00954EB7">
        <w:rPr>
          <w:i/>
          <w:iCs/>
        </w:rPr>
        <w:t>Bank of New York v. Holden</w:t>
      </w:r>
      <w:r>
        <w:t>, 15-466 (La. App. 5 Cir. 12/23/15), 182 So.3d 1206, 1208;</w:t>
      </w:r>
      <w:r w:rsidR="00954EB7">
        <w:t xml:space="preserve"> </w:t>
      </w:r>
      <w:r w:rsidRPr="00954EB7">
        <w:rPr>
          <w:i/>
          <w:iCs/>
        </w:rPr>
        <w:t>Holthausen v. DMartino</w:t>
      </w:r>
      <w:r>
        <w:t>, L.L.C., 11-561 (La. App. 5 Cir. 01/4/12), 86 So.3d 639, 642.</w:t>
      </w:r>
      <w:r w:rsidR="00954EB7">
        <w:t xml:space="preserve">  </w:t>
      </w:r>
      <w:r>
        <w:t xml:space="preserve">An interlocutory judgment does not determine the merits, but only preliminary matters in the course of the action, while a final judgment determine the merits in whole or in part. La. C.C.P. Art. 1841; </w:t>
      </w:r>
      <w:r w:rsidRPr="00954EB7">
        <w:rPr>
          <w:i/>
          <w:iCs/>
        </w:rPr>
        <w:t>Bank of New York</w:t>
      </w:r>
      <w:r>
        <w:t>, 182 So.3d at 1208.</w:t>
      </w:r>
    </w:p>
    <w:p w14:paraId="5850A3BF" w14:textId="77777777" w:rsidR="00954EB7" w:rsidRDefault="00954EB7" w:rsidP="00954EB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008" w:right="1008" w:firstLine="720"/>
      </w:pPr>
    </w:p>
    <w:p w14:paraId="07DFCB7C" w14:textId="08C0201B" w:rsidR="008120B8" w:rsidRDefault="008120B8" w:rsidP="00954EB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008" w:right="1008" w:firstLine="432"/>
      </w:pPr>
      <w:r>
        <w:t>Appeals are of right and may be taken only when appellate jurisdiction exists.</w:t>
      </w:r>
      <w:r w:rsidR="00954EB7">
        <w:t xml:space="preserve">  </w:t>
      </w:r>
      <w:r>
        <w:t>Appeals involve certain procedures, schedules,</w:t>
      </w:r>
      <w:r w:rsidR="002A5B5B">
        <w:t xml:space="preserve"> </w:t>
      </w:r>
      <w:r>
        <w:t xml:space="preserve">mandates and prohibitions specified by law, and by the uniform and local rules. </w:t>
      </w:r>
      <w:r w:rsidR="00954EB7">
        <w:t xml:space="preserve"> </w:t>
      </w:r>
      <w:r>
        <w:t xml:space="preserve">Opinions on appeal are the published jurisprudence which establish binding or persuasive precedents on the proper application of law. </w:t>
      </w:r>
      <w:r w:rsidR="00954EB7">
        <w:t xml:space="preserve"> </w:t>
      </w:r>
      <w:r>
        <w:t xml:space="preserve">Moreover, appeals </w:t>
      </w:r>
      <w:r>
        <w:lastRenderedPageBreak/>
        <w:t>divest the trial court of jurisdiction over all matters reviewable on appeal. La. C.C.P. Art. 2088.</w:t>
      </w:r>
    </w:p>
    <w:p w14:paraId="208972CD" w14:textId="77777777" w:rsidR="00954EB7" w:rsidRDefault="00954EB7" w:rsidP="00954EB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008" w:right="1008" w:firstLine="720"/>
      </w:pPr>
    </w:p>
    <w:p w14:paraId="2F8DF697" w14:textId="54933D2C" w:rsidR="008120B8" w:rsidRDefault="008120B8" w:rsidP="00954EB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008" w:right="1008" w:firstLine="432"/>
      </w:pPr>
      <w:r>
        <w:t>In contrast, supervisory jurisdiction, exercised upon the filing of applications for writs and rarely otherwise, is discretionary with the courts of appeal.</w:t>
      </w:r>
      <w:r w:rsidR="00954EB7">
        <w:t xml:space="preserve">  </w:t>
      </w:r>
      <w:r>
        <w:t>Supervisory review generally does not provide precedents (other than “law of the case”),</w:t>
      </w:r>
      <w:r w:rsidR="00954EB7">
        <w:t xml:space="preserve"> </w:t>
      </w:r>
      <w:r>
        <w:t xml:space="preserve">and is ordinarily more efficient and expeditious than appeals. </w:t>
      </w:r>
      <w:r w:rsidR="00954EB7">
        <w:t xml:space="preserve"> </w:t>
      </w:r>
      <w:r>
        <w:t>Moreover, a court of appeal</w:t>
      </w:r>
      <w:r w:rsidR="00A90F6F">
        <w:t>’</w:t>
      </w:r>
      <w:r>
        <w:t>s exercise of its supervisory jurisdiction does not divest the trial court of jurisdiction, or prevent the case from proceeding in the trial court, unless stayed.</w:t>
      </w:r>
    </w:p>
    <w:p w14:paraId="018B5ED2" w14:textId="77777777" w:rsidR="00954EB7" w:rsidRDefault="00954EB7" w:rsidP="00954EB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008" w:right="1008" w:firstLine="720"/>
      </w:pPr>
    </w:p>
    <w:p w14:paraId="61531007" w14:textId="342F07E8" w:rsidR="00954EB7" w:rsidRDefault="008120B8" w:rsidP="00C9488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ind w:left="1008" w:right="1008" w:firstLine="432"/>
      </w:pPr>
      <w:r>
        <w:t>The exercise of appellate jurisdiction and supervisory jurisdiction by a court of appeal are mutually exclusive.</w:t>
      </w:r>
      <w:r w:rsidR="00954EB7">
        <w:t xml:space="preserve"> </w:t>
      </w:r>
      <w:r w:rsidRPr="00954EB7">
        <w:rPr>
          <w:i/>
          <w:iCs/>
        </w:rPr>
        <w:t>See</w:t>
      </w:r>
      <w:r>
        <w:t xml:space="preserve"> La. C.C.P. Art. 2083 C and 2005 Comments. </w:t>
      </w:r>
      <w:r w:rsidR="00954EB7">
        <w:t xml:space="preserve"> </w:t>
      </w:r>
      <w:r>
        <w:t>The procedures for appeals and writ applications are distinctively different, as are time limits, schedules, and the means of setting each.</w:t>
      </w:r>
      <w:r w:rsidR="00954EB7">
        <w:t xml:space="preserve">  </w:t>
      </w:r>
      <w:r>
        <w:t xml:space="preserve">The procedures of appellate jurisdiction and supervisory jurisdiction are generally incompatible. </w:t>
      </w:r>
      <w:r w:rsidR="00954EB7">
        <w:t xml:space="preserve"> </w:t>
      </w:r>
      <w:r>
        <w:t>Accordingly, the notice of intent filed by a party seeking review by a court of appeal may not be pled in the alternative.</w:t>
      </w:r>
    </w:p>
    <w:p w14:paraId="0B4F2620" w14:textId="77777777" w:rsidR="005217C0" w:rsidRDefault="005217C0" w:rsidP="005217C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60"/>
        <w:ind w:left="1008" w:right="1008" w:firstLine="432"/>
      </w:pPr>
    </w:p>
    <w:p w14:paraId="2B838CA7" w14:textId="05E98925" w:rsidR="006C7261" w:rsidRDefault="00B43277" w:rsidP="00620C01">
      <w:pPr>
        <w:pStyle w:val="ListParagraph"/>
        <w:widowControl/>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60" w:line="259" w:lineRule="auto"/>
        <w:ind w:left="360"/>
        <w:rPr>
          <w:b/>
          <w:bCs/>
        </w:rPr>
      </w:pPr>
      <w:r>
        <w:rPr>
          <w:b/>
          <w:bCs/>
        </w:rPr>
        <w:t>Oral Argument</w:t>
      </w:r>
    </w:p>
    <w:p w14:paraId="6CC531AF" w14:textId="6226D38A" w:rsidR="005E54B0" w:rsidRDefault="00954EB7" w:rsidP="00954EB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480" w:lineRule="auto"/>
        <w:ind w:firstLine="720"/>
      </w:pPr>
      <w:r>
        <w:t xml:space="preserve">By the time you </w:t>
      </w:r>
      <w:r w:rsidR="00A809A4">
        <w:t xml:space="preserve">appear for </w:t>
      </w:r>
      <w:r>
        <w:t xml:space="preserve">oral argument, </w:t>
      </w:r>
      <w:r w:rsidR="005E54B0">
        <w:t>I have read</w:t>
      </w:r>
      <w:r w:rsidR="00A809A4">
        <w:t xml:space="preserve"> </w:t>
      </w:r>
      <w:r w:rsidR="00A017AF">
        <w:t xml:space="preserve">your </w:t>
      </w:r>
      <w:r w:rsidR="005E54B0">
        <w:t>appellate brief</w:t>
      </w:r>
      <w:r w:rsidR="00A809A4">
        <w:t xml:space="preserve"> several times</w:t>
      </w:r>
      <w:r w:rsidR="005E54B0">
        <w:t>.</w:t>
      </w:r>
      <w:r w:rsidR="00A017AF">
        <w:t xml:space="preserve">  </w:t>
      </w:r>
      <w:r>
        <w:t>So t</w:t>
      </w:r>
      <w:r w:rsidR="005E54B0">
        <w:t>ell me something I don’t know</w:t>
      </w:r>
      <w:r w:rsidR="007E1948">
        <w:t>.</w:t>
      </w:r>
      <w:r w:rsidR="00A809A4">
        <w:t xml:space="preserve">  </w:t>
      </w:r>
      <w:r w:rsidR="007E1948">
        <w:t>Explain, expand, or otherwise clarify what is in your brief.</w:t>
      </w:r>
      <w:r w:rsidR="00A809A4">
        <w:t xml:space="preserve">  Don’t simply repeat what is already written. </w:t>
      </w:r>
      <w:r w:rsidR="007E1948">
        <w:t xml:space="preserve">  </w:t>
      </w:r>
    </w:p>
    <w:p w14:paraId="17BF9353" w14:textId="77777777" w:rsidR="006C7261" w:rsidRDefault="006C7261" w:rsidP="006C726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60" w:line="480" w:lineRule="auto"/>
        <w:ind w:firstLine="360"/>
      </w:pPr>
    </w:p>
    <w:p w14:paraId="5C5D881C" w14:textId="77777777" w:rsidR="006C7261" w:rsidRDefault="006C7261" w:rsidP="006C726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60" w:line="480" w:lineRule="auto"/>
      </w:pPr>
    </w:p>
    <w:p w14:paraId="6ED37985" w14:textId="77777777" w:rsidR="006C7261" w:rsidRDefault="006C7261" w:rsidP="0061745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60" w:line="480" w:lineRule="auto"/>
      </w:pPr>
    </w:p>
    <w:sectPr w:rsidR="006C7261" w:rsidSect="00A36137">
      <w:pgSz w:w="12240" w:h="15840"/>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EAC6" w14:textId="77777777" w:rsidR="00AE0D24" w:rsidRDefault="00AE0D24">
      <w:r>
        <w:separator/>
      </w:r>
    </w:p>
  </w:endnote>
  <w:endnote w:type="continuationSeparator" w:id="0">
    <w:p w14:paraId="5B905D10" w14:textId="77777777" w:rsidR="00AE0D24" w:rsidRDefault="00AE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MingLiU-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Vani">
    <w:panose1 w:val="02040502050405020303"/>
    <w:charset w:val="00"/>
    <w:family w:val="roman"/>
    <w:pitch w:val="variable"/>
    <w:sig w:usb0="00200003" w:usb1="00000000" w:usb2="00000000" w:usb3="00000000" w:csb0="00000001" w:csb1="00000000"/>
  </w:font>
  <w:font w:name="Lyon">
    <w:altName w:val="Times New Roman"/>
    <w:panose1 w:val="020B0604020202020204"/>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406109"/>
      <w:docPartObj>
        <w:docPartGallery w:val="Page Numbers (Bottom of Page)"/>
        <w:docPartUnique/>
      </w:docPartObj>
    </w:sdtPr>
    <w:sdtEndPr>
      <w:rPr>
        <w:noProof/>
      </w:rPr>
    </w:sdtEndPr>
    <w:sdtContent>
      <w:p w14:paraId="34E83A3D" w14:textId="74AFB22B" w:rsidR="000B5010" w:rsidRDefault="000B50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B64831" w14:textId="77777777" w:rsidR="007956CA" w:rsidRDefault="007956C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6D47F" w14:textId="77777777" w:rsidR="00AE0D24" w:rsidRDefault="00AE0D24">
      <w:r>
        <w:separator/>
      </w:r>
    </w:p>
  </w:footnote>
  <w:footnote w:type="continuationSeparator" w:id="0">
    <w:p w14:paraId="20EB0FDA" w14:textId="77777777" w:rsidR="00AE0D24" w:rsidRDefault="00AE0D24">
      <w:r>
        <w:continuationSeparator/>
      </w:r>
    </w:p>
  </w:footnote>
  <w:footnote w:id="1">
    <w:p w14:paraId="1A41A9AE" w14:textId="76933AA4" w:rsidR="00307800" w:rsidRDefault="00307800">
      <w:pPr>
        <w:pStyle w:val="FootnoteText"/>
        <w:rPr>
          <w:sz w:val="23"/>
          <w:szCs w:val="23"/>
        </w:rPr>
      </w:pPr>
      <w:r>
        <w:tab/>
      </w:r>
      <w:r w:rsidRPr="00307800">
        <w:rPr>
          <w:rStyle w:val="FootnoteReference"/>
          <w:sz w:val="23"/>
          <w:szCs w:val="23"/>
          <w:vertAlign w:val="superscript"/>
        </w:rPr>
        <w:footnoteRef/>
      </w:r>
      <w:r>
        <w:t xml:space="preserve">  </w:t>
      </w:r>
      <w:r w:rsidRPr="00307800">
        <w:rPr>
          <w:sz w:val="23"/>
          <w:szCs w:val="23"/>
        </w:rPr>
        <w:t>La. R.S. 9:335(A)(2)(b) states: “To the extent it is feasible and in the best interest of the child, physical custody of the children should be shared equally.”</w:t>
      </w:r>
    </w:p>
    <w:p w14:paraId="06F55047" w14:textId="77777777" w:rsidR="006662FC" w:rsidRDefault="006662F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276C22E"/>
    <w:lvl w:ilvl="0">
      <w:numFmt w:val="bullet"/>
      <w:lvlText w:val="*"/>
      <w:lvlJc w:val="left"/>
    </w:lvl>
  </w:abstractNum>
  <w:abstractNum w:abstractNumId="1" w15:restartNumberingAfterBreak="0">
    <w:nsid w:val="0D9241DC"/>
    <w:multiLevelType w:val="hybridMultilevel"/>
    <w:tmpl w:val="465483E0"/>
    <w:lvl w:ilvl="0" w:tplc="202C88BE">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137D5423"/>
    <w:multiLevelType w:val="hybridMultilevel"/>
    <w:tmpl w:val="10EEC8D0"/>
    <w:lvl w:ilvl="0" w:tplc="E272DC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B34F51"/>
    <w:multiLevelType w:val="hybridMultilevel"/>
    <w:tmpl w:val="EEB4ED48"/>
    <w:lvl w:ilvl="0" w:tplc="A73C4E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B13CC6"/>
    <w:multiLevelType w:val="hybridMultilevel"/>
    <w:tmpl w:val="5E069AE0"/>
    <w:lvl w:ilvl="0" w:tplc="07B0452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721BE7"/>
    <w:multiLevelType w:val="hybridMultilevel"/>
    <w:tmpl w:val="181A2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93319"/>
    <w:multiLevelType w:val="hybridMultilevel"/>
    <w:tmpl w:val="D7161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B0DE6"/>
    <w:multiLevelType w:val="hybridMultilevel"/>
    <w:tmpl w:val="181A2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01A57"/>
    <w:multiLevelType w:val="hybridMultilevel"/>
    <w:tmpl w:val="181A230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AF877B7"/>
    <w:multiLevelType w:val="hybridMultilevel"/>
    <w:tmpl w:val="181A2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E60BB"/>
    <w:multiLevelType w:val="hybridMultilevel"/>
    <w:tmpl w:val="5B2C0250"/>
    <w:lvl w:ilvl="0" w:tplc="07B0452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AD1FF2"/>
    <w:multiLevelType w:val="hybridMultilevel"/>
    <w:tmpl w:val="0BFE77CE"/>
    <w:lvl w:ilvl="0" w:tplc="5E7E6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9E7383"/>
    <w:multiLevelType w:val="hybridMultilevel"/>
    <w:tmpl w:val="76306942"/>
    <w:lvl w:ilvl="0" w:tplc="421A6B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177120"/>
    <w:multiLevelType w:val="hybridMultilevel"/>
    <w:tmpl w:val="55C6E4C6"/>
    <w:lvl w:ilvl="0" w:tplc="D2BE6C9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63B17"/>
    <w:multiLevelType w:val="hybridMultilevel"/>
    <w:tmpl w:val="B8029D52"/>
    <w:lvl w:ilvl="0" w:tplc="D2BE6C9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0"/>
    <w:lvlOverride w:ilvl="0">
      <w:lvl w:ilvl="0">
        <w:numFmt w:val="bullet"/>
        <w:lvlText w:val="·"/>
        <w:legacy w:legacy="1" w:legacySpace="0" w:legacyIndent="360"/>
        <w:lvlJc w:val="left"/>
        <w:pPr>
          <w:ind w:left="1440" w:hanging="360"/>
        </w:pPr>
        <w:rPr>
          <w:rFonts w:ascii="Yu Gothic UI" w:eastAsia="Yu Gothic UI" w:hAnsi="Yu Gothic UI" w:hint="eastAsia"/>
        </w:rPr>
      </w:lvl>
    </w:lvlOverride>
  </w:num>
  <w:num w:numId="4">
    <w:abstractNumId w:val="0"/>
    <w:lvlOverride w:ilvl="0">
      <w:lvl w:ilvl="0">
        <w:numFmt w:val="bullet"/>
        <w:lvlText w:val=""/>
        <w:legacy w:legacy="1" w:legacySpace="0" w:legacyIndent="360"/>
        <w:lvlJc w:val="left"/>
        <w:pPr>
          <w:ind w:left="2160" w:hanging="360"/>
        </w:pPr>
        <w:rPr>
          <w:rFonts w:ascii="Wingdings" w:hAnsi="Wingdings" w:hint="default"/>
        </w:rPr>
      </w:lvl>
    </w:lvlOverride>
  </w:num>
  <w:num w:numId="5">
    <w:abstractNumId w:val="0"/>
    <w:lvlOverride w:ilvl="0">
      <w:lvl w:ilvl="0">
        <w:numFmt w:val="bullet"/>
        <w:lvlText w:val="·"/>
        <w:legacy w:legacy="1" w:legacySpace="0" w:legacyIndent="360"/>
        <w:lvlJc w:val="left"/>
        <w:pPr>
          <w:ind w:left="1440" w:hanging="360"/>
        </w:pPr>
        <w:rPr>
          <w:rFonts w:ascii="MingLiU-ExtB" w:eastAsia="MingLiU-ExtB" w:hAnsi="MingLiU-ExtB" w:hint="eastAsia"/>
        </w:rPr>
      </w:lvl>
    </w:lvlOverride>
  </w:num>
  <w:num w:numId="6">
    <w:abstractNumId w:val="0"/>
    <w:lvlOverride w:ilvl="0">
      <w:lvl w:ilvl="0">
        <w:numFmt w:val="bullet"/>
        <w:lvlText w:val="·"/>
        <w:legacy w:legacy="1" w:legacySpace="0" w:legacyIndent="540"/>
        <w:lvlJc w:val="left"/>
        <w:pPr>
          <w:ind w:left="1080" w:hanging="540"/>
        </w:pPr>
        <w:rPr>
          <w:rFonts w:ascii="MingLiU-ExtB" w:eastAsia="MingLiU-ExtB" w:hAnsi="MingLiU-ExtB" w:hint="eastAsia"/>
        </w:rPr>
      </w:lvl>
    </w:lvlOverride>
  </w:num>
  <w:num w:numId="7">
    <w:abstractNumId w:val="0"/>
    <w:lvlOverride w:ilvl="0">
      <w:lvl w:ilvl="0">
        <w:numFmt w:val="bullet"/>
        <w:lvlText w:val="·"/>
        <w:legacy w:legacy="1" w:legacySpace="0" w:legacyIndent="360"/>
        <w:lvlJc w:val="left"/>
        <w:pPr>
          <w:ind w:left="1080" w:hanging="360"/>
        </w:pPr>
        <w:rPr>
          <w:rFonts w:ascii="Times New Roman" w:hAnsi="Times New Roman" w:cs="Times New Roman" w:hint="default"/>
        </w:rPr>
      </w:lvl>
    </w:lvlOverride>
  </w:num>
  <w:num w:numId="8">
    <w:abstractNumId w:val="6"/>
  </w:num>
  <w:num w:numId="9">
    <w:abstractNumId w:val="5"/>
  </w:num>
  <w:num w:numId="10">
    <w:abstractNumId w:val="9"/>
  </w:num>
  <w:num w:numId="11">
    <w:abstractNumId w:val="2"/>
  </w:num>
  <w:num w:numId="12">
    <w:abstractNumId w:val="10"/>
  </w:num>
  <w:num w:numId="13">
    <w:abstractNumId w:val="7"/>
  </w:num>
  <w:num w:numId="14">
    <w:abstractNumId w:val="8"/>
  </w:num>
  <w:num w:numId="15">
    <w:abstractNumId w:val="1"/>
  </w:num>
  <w:num w:numId="16">
    <w:abstractNumId w:val="11"/>
  </w:num>
  <w:num w:numId="17">
    <w:abstractNumId w:val="4"/>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DCE"/>
    <w:rsid w:val="000004A5"/>
    <w:rsid w:val="00010D2C"/>
    <w:rsid w:val="00012702"/>
    <w:rsid w:val="00015294"/>
    <w:rsid w:val="00015909"/>
    <w:rsid w:val="00015A68"/>
    <w:rsid w:val="0001696D"/>
    <w:rsid w:val="00020228"/>
    <w:rsid w:val="00031BD2"/>
    <w:rsid w:val="00035C3F"/>
    <w:rsid w:val="00036CC9"/>
    <w:rsid w:val="00040FBC"/>
    <w:rsid w:val="00054782"/>
    <w:rsid w:val="00065091"/>
    <w:rsid w:val="00073167"/>
    <w:rsid w:val="00074049"/>
    <w:rsid w:val="00081199"/>
    <w:rsid w:val="00085E3E"/>
    <w:rsid w:val="00092A35"/>
    <w:rsid w:val="000969FA"/>
    <w:rsid w:val="00097215"/>
    <w:rsid w:val="00097AE4"/>
    <w:rsid w:val="000A2EC7"/>
    <w:rsid w:val="000B5010"/>
    <w:rsid w:val="000C0CCB"/>
    <w:rsid w:val="000C1C05"/>
    <w:rsid w:val="000C6799"/>
    <w:rsid w:val="000D0A9F"/>
    <w:rsid w:val="000D0EE8"/>
    <w:rsid w:val="000D23DB"/>
    <w:rsid w:val="000D5860"/>
    <w:rsid w:val="000D6385"/>
    <w:rsid w:val="000E1CC2"/>
    <w:rsid w:val="000E2023"/>
    <w:rsid w:val="000E78EB"/>
    <w:rsid w:val="000F7F95"/>
    <w:rsid w:val="001067A9"/>
    <w:rsid w:val="00107C51"/>
    <w:rsid w:val="001106BD"/>
    <w:rsid w:val="00112EF8"/>
    <w:rsid w:val="00115781"/>
    <w:rsid w:val="001175CE"/>
    <w:rsid w:val="00125553"/>
    <w:rsid w:val="0013555C"/>
    <w:rsid w:val="00142808"/>
    <w:rsid w:val="00144275"/>
    <w:rsid w:val="00144CC2"/>
    <w:rsid w:val="00151762"/>
    <w:rsid w:val="0015529D"/>
    <w:rsid w:val="0016327F"/>
    <w:rsid w:val="00163A09"/>
    <w:rsid w:val="00180FD7"/>
    <w:rsid w:val="001855E2"/>
    <w:rsid w:val="001874A6"/>
    <w:rsid w:val="00194F20"/>
    <w:rsid w:val="001A4AA4"/>
    <w:rsid w:val="001D5B10"/>
    <w:rsid w:val="001E30B8"/>
    <w:rsid w:val="001E33CC"/>
    <w:rsid w:val="001E4A4C"/>
    <w:rsid w:val="001F0C7A"/>
    <w:rsid w:val="001F4955"/>
    <w:rsid w:val="001F6297"/>
    <w:rsid w:val="001F794E"/>
    <w:rsid w:val="00201F17"/>
    <w:rsid w:val="00206001"/>
    <w:rsid w:val="00216490"/>
    <w:rsid w:val="00217B88"/>
    <w:rsid w:val="00223C91"/>
    <w:rsid w:val="002361FF"/>
    <w:rsid w:val="00245D54"/>
    <w:rsid w:val="002543D2"/>
    <w:rsid w:val="0026319D"/>
    <w:rsid w:val="00265240"/>
    <w:rsid w:val="00265ED1"/>
    <w:rsid w:val="00272D95"/>
    <w:rsid w:val="0027608C"/>
    <w:rsid w:val="00281005"/>
    <w:rsid w:val="002970F0"/>
    <w:rsid w:val="002A1376"/>
    <w:rsid w:val="002A5B5B"/>
    <w:rsid w:val="002B1EDC"/>
    <w:rsid w:val="002B292A"/>
    <w:rsid w:val="002B2E18"/>
    <w:rsid w:val="002C0479"/>
    <w:rsid w:val="002C4B7B"/>
    <w:rsid w:val="002C7EAA"/>
    <w:rsid w:val="002D3AB0"/>
    <w:rsid w:val="002E13A0"/>
    <w:rsid w:val="002E4BF1"/>
    <w:rsid w:val="002E5C44"/>
    <w:rsid w:val="002E677A"/>
    <w:rsid w:val="002F26AA"/>
    <w:rsid w:val="002F3A8D"/>
    <w:rsid w:val="002F7FEF"/>
    <w:rsid w:val="00306433"/>
    <w:rsid w:val="00307800"/>
    <w:rsid w:val="00310DCE"/>
    <w:rsid w:val="00321C4E"/>
    <w:rsid w:val="003245D9"/>
    <w:rsid w:val="0033093C"/>
    <w:rsid w:val="00334C37"/>
    <w:rsid w:val="0033625C"/>
    <w:rsid w:val="003434B7"/>
    <w:rsid w:val="00357A2D"/>
    <w:rsid w:val="003639A3"/>
    <w:rsid w:val="00370584"/>
    <w:rsid w:val="003933F2"/>
    <w:rsid w:val="00393D47"/>
    <w:rsid w:val="00394F21"/>
    <w:rsid w:val="003A7A17"/>
    <w:rsid w:val="003B193C"/>
    <w:rsid w:val="003B57ED"/>
    <w:rsid w:val="003C0B1E"/>
    <w:rsid w:val="003F59F8"/>
    <w:rsid w:val="0042323D"/>
    <w:rsid w:val="00434C88"/>
    <w:rsid w:val="00450D1C"/>
    <w:rsid w:val="00474D81"/>
    <w:rsid w:val="00476C21"/>
    <w:rsid w:val="00477CA9"/>
    <w:rsid w:val="0048007E"/>
    <w:rsid w:val="00480176"/>
    <w:rsid w:val="004835A6"/>
    <w:rsid w:val="004867F4"/>
    <w:rsid w:val="0048719F"/>
    <w:rsid w:val="00487256"/>
    <w:rsid w:val="00487CE0"/>
    <w:rsid w:val="00495351"/>
    <w:rsid w:val="00495484"/>
    <w:rsid w:val="00496314"/>
    <w:rsid w:val="004A600B"/>
    <w:rsid w:val="004A6193"/>
    <w:rsid w:val="004B3E67"/>
    <w:rsid w:val="004B4B03"/>
    <w:rsid w:val="004C0F1B"/>
    <w:rsid w:val="004C6417"/>
    <w:rsid w:val="004D5FDC"/>
    <w:rsid w:val="004E62E7"/>
    <w:rsid w:val="004F1AEF"/>
    <w:rsid w:val="004F4A8C"/>
    <w:rsid w:val="005217C0"/>
    <w:rsid w:val="005303A1"/>
    <w:rsid w:val="00533163"/>
    <w:rsid w:val="00536139"/>
    <w:rsid w:val="005375A2"/>
    <w:rsid w:val="00541443"/>
    <w:rsid w:val="00550513"/>
    <w:rsid w:val="00563C8C"/>
    <w:rsid w:val="00567A6D"/>
    <w:rsid w:val="00580752"/>
    <w:rsid w:val="00583B17"/>
    <w:rsid w:val="005A4EF0"/>
    <w:rsid w:val="005B4DAE"/>
    <w:rsid w:val="005C177C"/>
    <w:rsid w:val="005C4291"/>
    <w:rsid w:val="005D0E01"/>
    <w:rsid w:val="005D2A13"/>
    <w:rsid w:val="005E54B0"/>
    <w:rsid w:val="005F1084"/>
    <w:rsid w:val="005F7683"/>
    <w:rsid w:val="0060298F"/>
    <w:rsid w:val="00603D09"/>
    <w:rsid w:val="0060643E"/>
    <w:rsid w:val="0061611F"/>
    <w:rsid w:val="00616F61"/>
    <w:rsid w:val="00617450"/>
    <w:rsid w:val="00620C01"/>
    <w:rsid w:val="00624F6B"/>
    <w:rsid w:val="006313A5"/>
    <w:rsid w:val="00636D09"/>
    <w:rsid w:val="00645005"/>
    <w:rsid w:val="00655D35"/>
    <w:rsid w:val="006662FC"/>
    <w:rsid w:val="00667329"/>
    <w:rsid w:val="006704AB"/>
    <w:rsid w:val="006775E1"/>
    <w:rsid w:val="0067786C"/>
    <w:rsid w:val="006807DA"/>
    <w:rsid w:val="00690D64"/>
    <w:rsid w:val="006A0354"/>
    <w:rsid w:val="006A17B1"/>
    <w:rsid w:val="006A39D2"/>
    <w:rsid w:val="006C4692"/>
    <w:rsid w:val="006C7261"/>
    <w:rsid w:val="006D4AA0"/>
    <w:rsid w:val="006E3692"/>
    <w:rsid w:val="006F6197"/>
    <w:rsid w:val="00702927"/>
    <w:rsid w:val="00707751"/>
    <w:rsid w:val="00712EC6"/>
    <w:rsid w:val="00713B7D"/>
    <w:rsid w:val="00714AC1"/>
    <w:rsid w:val="0073000A"/>
    <w:rsid w:val="00730646"/>
    <w:rsid w:val="007353C0"/>
    <w:rsid w:val="0077257D"/>
    <w:rsid w:val="00773E25"/>
    <w:rsid w:val="007918FA"/>
    <w:rsid w:val="007956CA"/>
    <w:rsid w:val="00797294"/>
    <w:rsid w:val="007A5C6A"/>
    <w:rsid w:val="007B6AB9"/>
    <w:rsid w:val="007B7FFA"/>
    <w:rsid w:val="007D7FF4"/>
    <w:rsid w:val="007E10EC"/>
    <w:rsid w:val="007E1948"/>
    <w:rsid w:val="007E2201"/>
    <w:rsid w:val="007E6335"/>
    <w:rsid w:val="007F3DE1"/>
    <w:rsid w:val="007F7D9C"/>
    <w:rsid w:val="00802F3E"/>
    <w:rsid w:val="00804F8A"/>
    <w:rsid w:val="008059B6"/>
    <w:rsid w:val="00806C2F"/>
    <w:rsid w:val="00806E03"/>
    <w:rsid w:val="008120B8"/>
    <w:rsid w:val="0081376C"/>
    <w:rsid w:val="0081588B"/>
    <w:rsid w:val="00816D1B"/>
    <w:rsid w:val="0082613E"/>
    <w:rsid w:val="00826EE5"/>
    <w:rsid w:val="0083345B"/>
    <w:rsid w:val="008351DB"/>
    <w:rsid w:val="00845525"/>
    <w:rsid w:val="00855615"/>
    <w:rsid w:val="00862C3B"/>
    <w:rsid w:val="00867347"/>
    <w:rsid w:val="00880D4E"/>
    <w:rsid w:val="00887F27"/>
    <w:rsid w:val="008A1ADC"/>
    <w:rsid w:val="008B7D1F"/>
    <w:rsid w:val="008C20BF"/>
    <w:rsid w:val="008D1B9A"/>
    <w:rsid w:val="008D45C8"/>
    <w:rsid w:val="008D5951"/>
    <w:rsid w:val="008F2CB8"/>
    <w:rsid w:val="008F3E46"/>
    <w:rsid w:val="0093141F"/>
    <w:rsid w:val="00936C9F"/>
    <w:rsid w:val="0094559E"/>
    <w:rsid w:val="0094580D"/>
    <w:rsid w:val="00950B1D"/>
    <w:rsid w:val="0095271A"/>
    <w:rsid w:val="00954EB7"/>
    <w:rsid w:val="00964BD2"/>
    <w:rsid w:val="0097604A"/>
    <w:rsid w:val="0097733B"/>
    <w:rsid w:val="00977C42"/>
    <w:rsid w:val="00981476"/>
    <w:rsid w:val="00982366"/>
    <w:rsid w:val="00982812"/>
    <w:rsid w:val="00994F0E"/>
    <w:rsid w:val="0099507D"/>
    <w:rsid w:val="009A1973"/>
    <w:rsid w:val="009B46AC"/>
    <w:rsid w:val="009B63F6"/>
    <w:rsid w:val="009C3CCB"/>
    <w:rsid w:val="009D2F1E"/>
    <w:rsid w:val="009E629D"/>
    <w:rsid w:val="009E7CC5"/>
    <w:rsid w:val="00A00C3C"/>
    <w:rsid w:val="00A017AF"/>
    <w:rsid w:val="00A07ABB"/>
    <w:rsid w:val="00A32EDB"/>
    <w:rsid w:val="00A34F60"/>
    <w:rsid w:val="00A36137"/>
    <w:rsid w:val="00A36C2D"/>
    <w:rsid w:val="00A428F9"/>
    <w:rsid w:val="00A44DE6"/>
    <w:rsid w:val="00A50E7C"/>
    <w:rsid w:val="00A52B82"/>
    <w:rsid w:val="00A53E8F"/>
    <w:rsid w:val="00A549F8"/>
    <w:rsid w:val="00A57B8A"/>
    <w:rsid w:val="00A64569"/>
    <w:rsid w:val="00A70944"/>
    <w:rsid w:val="00A72783"/>
    <w:rsid w:val="00A80228"/>
    <w:rsid w:val="00A809A4"/>
    <w:rsid w:val="00A84828"/>
    <w:rsid w:val="00A84BE4"/>
    <w:rsid w:val="00A866C7"/>
    <w:rsid w:val="00A90F6F"/>
    <w:rsid w:val="00A9106D"/>
    <w:rsid w:val="00A96742"/>
    <w:rsid w:val="00AB02D4"/>
    <w:rsid w:val="00AB3114"/>
    <w:rsid w:val="00AC238C"/>
    <w:rsid w:val="00AD4659"/>
    <w:rsid w:val="00AD660A"/>
    <w:rsid w:val="00AD7B91"/>
    <w:rsid w:val="00AE0D24"/>
    <w:rsid w:val="00AE60E9"/>
    <w:rsid w:val="00AF2F9D"/>
    <w:rsid w:val="00B10179"/>
    <w:rsid w:val="00B10CEC"/>
    <w:rsid w:val="00B12CCA"/>
    <w:rsid w:val="00B13074"/>
    <w:rsid w:val="00B16DBB"/>
    <w:rsid w:val="00B2260D"/>
    <w:rsid w:val="00B4018E"/>
    <w:rsid w:val="00B4263D"/>
    <w:rsid w:val="00B42EE1"/>
    <w:rsid w:val="00B43277"/>
    <w:rsid w:val="00B56A4F"/>
    <w:rsid w:val="00B61257"/>
    <w:rsid w:val="00B62B25"/>
    <w:rsid w:val="00B62B2A"/>
    <w:rsid w:val="00B72771"/>
    <w:rsid w:val="00B7345F"/>
    <w:rsid w:val="00B75C5E"/>
    <w:rsid w:val="00B83A92"/>
    <w:rsid w:val="00B9045F"/>
    <w:rsid w:val="00B934A9"/>
    <w:rsid w:val="00B96530"/>
    <w:rsid w:val="00BA7ADE"/>
    <w:rsid w:val="00BA7ED3"/>
    <w:rsid w:val="00BB423D"/>
    <w:rsid w:val="00BB52F6"/>
    <w:rsid w:val="00BC457B"/>
    <w:rsid w:val="00BD4784"/>
    <w:rsid w:val="00BD4E75"/>
    <w:rsid w:val="00BD6053"/>
    <w:rsid w:val="00BE69B3"/>
    <w:rsid w:val="00BF13D5"/>
    <w:rsid w:val="00BF178B"/>
    <w:rsid w:val="00BF3DB3"/>
    <w:rsid w:val="00C06E5D"/>
    <w:rsid w:val="00C12D03"/>
    <w:rsid w:val="00C31830"/>
    <w:rsid w:val="00C361DA"/>
    <w:rsid w:val="00C42E40"/>
    <w:rsid w:val="00C65C44"/>
    <w:rsid w:val="00C73481"/>
    <w:rsid w:val="00C7444A"/>
    <w:rsid w:val="00C76C76"/>
    <w:rsid w:val="00C77232"/>
    <w:rsid w:val="00C77AEC"/>
    <w:rsid w:val="00C81422"/>
    <w:rsid w:val="00C8628C"/>
    <w:rsid w:val="00C9488C"/>
    <w:rsid w:val="00C978CC"/>
    <w:rsid w:val="00CA492C"/>
    <w:rsid w:val="00CA757E"/>
    <w:rsid w:val="00CC2672"/>
    <w:rsid w:val="00CC5D0C"/>
    <w:rsid w:val="00CC79C5"/>
    <w:rsid w:val="00CD4358"/>
    <w:rsid w:val="00CD6B87"/>
    <w:rsid w:val="00CE10B3"/>
    <w:rsid w:val="00CE21B6"/>
    <w:rsid w:val="00CF3920"/>
    <w:rsid w:val="00CF3EB1"/>
    <w:rsid w:val="00D07630"/>
    <w:rsid w:val="00D2007D"/>
    <w:rsid w:val="00D268F0"/>
    <w:rsid w:val="00D33033"/>
    <w:rsid w:val="00D364B7"/>
    <w:rsid w:val="00D36654"/>
    <w:rsid w:val="00D420CC"/>
    <w:rsid w:val="00D42C35"/>
    <w:rsid w:val="00D4773F"/>
    <w:rsid w:val="00D51A73"/>
    <w:rsid w:val="00D5327B"/>
    <w:rsid w:val="00D56C46"/>
    <w:rsid w:val="00D5747F"/>
    <w:rsid w:val="00D65239"/>
    <w:rsid w:val="00D67C4D"/>
    <w:rsid w:val="00D91CE6"/>
    <w:rsid w:val="00D92099"/>
    <w:rsid w:val="00DA0E54"/>
    <w:rsid w:val="00DA0E9A"/>
    <w:rsid w:val="00DB1C3A"/>
    <w:rsid w:val="00DB452A"/>
    <w:rsid w:val="00DB72F2"/>
    <w:rsid w:val="00DB7D05"/>
    <w:rsid w:val="00DC494F"/>
    <w:rsid w:val="00DE287E"/>
    <w:rsid w:val="00DE5818"/>
    <w:rsid w:val="00DF14AD"/>
    <w:rsid w:val="00E072E1"/>
    <w:rsid w:val="00E076BD"/>
    <w:rsid w:val="00E078D1"/>
    <w:rsid w:val="00E123FD"/>
    <w:rsid w:val="00E141C9"/>
    <w:rsid w:val="00E331A3"/>
    <w:rsid w:val="00E34A93"/>
    <w:rsid w:val="00E36BD2"/>
    <w:rsid w:val="00E47F4B"/>
    <w:rsid w:val="00E6179B"/>
    <w:rsid w:val="00E67B8E"/>
    <w:rsid w:val="00E70219"/>
    <w:rsid w:val="00E74FEE"/>
    <w:rsid w:val="00E82A01"/>
    <w:rsid w:val="00E90E6B"/>
    <w:rsid w:val="00E94C65"/>
    <w:rsid w:val="00EB2D56"/>
    <w:rsid w:val="00EB39CE"/>
    <w:rsid w:val="00EB5084"/>
    <w:rsid w:val="00EC345F"/>
    <w:rsid w:val="00ED24C4"/>
    <w:rsid w:val="00EE350C"/>
    <w:rsid w:val="00EE4F09"/>
    <w:rsid w:val="00EE5C6F"/>
    <w:rsid w:val="00EE71E4"/>
    <w:rsid w:val="00EF7C5E"/>
    <w:rsid w:val="00F07CF9"/>
    <w:rsid w:val="00F11579"/>
    <w:rsid w:val="00F12CDB"/>
    <w:rsid w:val="00F1677F"/>
    <w:rsid w:val="00F31C95"/>
    <w:rsid w:val="00F33C1F"/>
    <w:rsid w:val="00F40F54"/>
    <w:rsid w:val="00F4117F"/>
    <w:rsid w:val="00F5144A"/>
    <w:rsid w:val="00F5204D"/>
    <w:rsid w:val="00F544A2"/>
    <w:rsid w:val="00F572D6"/>
    <w:rsid w:val="00F742B6"/>
    <w:rsid w:val="00F8417E"/>
    <w:rsid w:val="00F934B7"/>
    <w:rsid w:val="00F93724"/>
    <w:rsid w:val="00F9470A"/>
    <w:rsid w:val="00FA269B"/>
    <w:rsid w:val="00FA640D"/>
    <w:rsid w:val="00FB01D7"/>
    <w:rsid w:val="00FB09D5"/>
    <w:rsid w:val="00FD4D90"/>
    <w:rsid w:val="00FD6649"/>
    <w:rsid w:val="00FE4388"/>
    <w:rsid w:val="00FE4EB6"/>
    <w:rsid w:val="00FE5D9B"/>
    <w:rsid w:val="00FF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73A62E"/>
  <w14:defaultImageDpi w14:val="96"/>
  <w15:docId w15:val="{980D008E-9ACA-426A-9248-5B601E6F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Outline0019">
    <w:name w:val="Outline001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DefaultPara">
    <w:name w:val="Default Para"/>
    <w:uiPriority w:val="99"/>
  </w:style>
  <w:style w:type="paragraph" w:customStyle="1" w:styleId="Outline0011">
    <w:name w:val="Outline001_1"/>
    <w:uiPriority w:val="99"/>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jc w:val="both"/>
    </w:pPr>
    <w:rPr>
      <w:rFonts w:ascii="Times New Roman" w:hAnsi="Times New Roman"/>
    </w:rPr>
  </w:style>
  <w:style w:type="paragraph" w:customStyle="1" w:styleId="Outline0012">
    <w:name w:val="Outline001_2"/>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rPr>
  </w:style>
  <w:style w:type="paragraph" w:customStyle="1" w:styleId="Outline0013">
    <w:name w:val="Outline001_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Outline0014">
    <w:name w:val="Outline001_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Outline0015">
    <w:name w:val="Outline001_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Outline0016">
    <w:name w:val="Outline001_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Outline0017">
    <w:name w:val="Outline001_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Outline0018">
    <w:name w:val="Outline001_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character" w:customStyle="1" w:styleId="27">
    <w:name w:val="2"/>
    <w:uiPriority w:val="99"/>
    <w:rPr>
      <w:color w:val="0000FF"/>
      <w:u w:val="single"/>
    </w:rPr>
  </w:style>
  <w:style w:type="paragraph" w:styleId="BalloonText">
    <w:name w:val="Balloon Text"/>
    <w:basedOn w:val="Normal"/>
    <w:link w:val="BalloonTextChar"/>
    <w:uiPriority w:val="99"/>
    <w:semiHidden/>
    <w:unhideWhenUsed/>
    <w:rsid w:val="00DA0E5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A0E54"/>
    <w:rPr>
      <w:rFonts w:ascii="Segoe UI" w:hAnsi="Segoe UI" w:cs="Segoe UI"/>
      <w:sz w:val="18"/>
      <w:szCs w:val="18"/>
    </w:rPr>
  </w:style>
  <w:style w:type="paragraph" w:styleId="Header">
    <w:name w:val="header"/>
    <w:basedOn w:val="Normal"/>
    <w:link w:val="HeaderChar"/>
    <w:uiPriority w:val="99"/>
    <w:unhideWhenUsed/>
    <w:rsid w:val="00477CA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477CA9"/>
    <w:rPr>
      <w:rFonts w:ascii="Times New Roman" w:hAnsi="Times New Roman"/>
      <w:sz w:val="24"/>
      <w:szCs w:val="24"/>
    </w:rPr>
  </w:style>
  <w:style w:type="paragraph" w:styleId="Footer">
    <w:name w:val="footer"/>
    <w:basedOn w:val="Normal"/>
    <w:link w:val="FooterChar"/>
    <w:uiPriority w:val="99"/>
    <w:unhideWhenUsed/>
    <w:rsid w:val="00477CA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477CA9"/>
    <w:rPr>
      <w:rFonts w:ascii="Times New Roman" w:hAnsi="Times New Roman"/>
      <w:sz w:val="24"/>
      <w:szCs w:val="24"/>
    </w:rPr>
  </w:style>
  <w:style w:type="paragraph" w:styleId="ListParagraph">
    <w:name w:val="List Paragraph"/>
    <w:basedOn w:val="Normal"/>
    <w:uiPriority w:val="34"/>
    <w:qFormat/>
    <w:rsid w:val="00180FD7"/>
    <w:pPr>
      <w:ind w:left="720"/>
      <w:contextualSpacing/>
    </w:pPr>
  </w:style>
  <w:style w:type="character" w:styleId="FootnoteReference">
    <w:name w:val="footnote reference"/>
    <w:uiPriority w:val="99"/>
    <w:rsid w:val="00142808"/>
  </w:style>
  <w:style w:type="paragraph" w:styleId="FootnoteText">
    <w:name w:val="footnote text"/>
    <w:basedOn w:val="Normal"/>
    <w:link w:val="FootnoteTextChar"/>
    <w:uiPriority w:val="99"/>
    <w:unhideWhenUsed/>
    <w:rsid w:val="00F07CF9"/>
    <w:rPr>
      <w:sz w:val="20"/>
      <w:szCs w:val="20"/>
    </w:rPr>
  </w:style>
  <w:style w:type="character" w:customStyle="1" w:styleId="FootnoteTextChar">
    <w:name w:val="Footnote Text Char"/>
    <w:basedOn w:val="DefaultParagraphFont"/>
    <w:link w:val="FootnoteText"/>
    <w:uiPriority w:val="99"/>
    <w:rsid w:val="00F07CF9"/>
    <w:rPr>
      <w:rFonts w:ascii="Times New Roman" w:hAnsi="Times New Roman"/>
      <w:sz w:val="20"/>
      <w:szCs w:val="20"/>
    </w:rPr>
  </w:style>
  <w:style w:type="character" w:styleId="LineNumber">
    <w:name w:val="line number"/>
    <w:basedOn w:val="DefaultParagraphFont"/>
    <w:uiPriority w:val="99"/>
    <w:semiHidden/>
    <w:unhideWhenUsed/>
    <w:rsid w:val="008F2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94698-FE0F-42CE-95FD-EAE44732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3066</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G. Fitzgerald</dc:creator>
  <cp:keywords/>
  <dc:description/>
  <cp:lastModifiedBy>Katie Blanchet</cp:lastModifiedBy>
  <cp:revision>2</cp:revision>
  <cp:lastPrinted>2021-08-26T20:02:00Z</cp:lastPrinted>
  <dcterms:created xsi:type="dcterms:W3CDTF">2024-01-18T21:07:00Z</dcterms:created>
  <dcterms:modified xsi:type="dcterms:W3CDTF">2024-01-18T21:07:00Z</dcterms:modified>
</cp:coreProperties>
</file>